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3"/>
        <w:tblW w:w="10173" w:type="dxa"/>
        <w:tblLook w:val="04A0" w:firstRow="1" w:lastRow="0" w:firstColumn="1" w:lastColumn="0" w:noHBand="0" w:noVBand="1"/>
      </w:tblPr>
      <w:tblGrid>
        <w:gridCol w:w="2563"/>
        <w:gridCol w:w="7610"/>
      </w:tblGrid>
      <w:tr w:rsidR="00645F89" w:rsidRPr="00CA7672" w14:paraId="415C823F" w14:textId="77777777" w:rsidTr="00F51724">
        <w:tc>
          <w:tcPr>
            <w:tcW w:w="2563" w:type="dxa"/>
          </w:tcPr>
          <w:p w14:paraId="50552E8B" w14:textId="77777777"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Sheet reference</w:t>
            </w:r>
          </w:p>
        </w:tc>
        <w:tc>
          <w:tcPr>
            <w:tcW w:w="7610" w:type="dxa"/>
          </w:tcPr>
          <w:p w14:paraId="6EE77ABC" w14:textId="6A48B1B4"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BDC202</w:t>
            </w:r>
            <w:r w:rsidR="00992F76">
              <w:rPr>
                <w:rFonts w:asciiTheme="minorHAnsi" w:hAnsiTheme="minorHAnsi" w:cstheme="minorHAnsi"/>
                <w:color w:val="000000"/>
                <w:sz w:val="21"/>
                <w:szCs w:val="21"/>
              </w:rPr>
              <w:t>5</w:t>
            </w:r>
            <w:r w:rsidRPr="00CA7672">
              <w:rPr>
                <w:rFonts w:asciiTheme="minorHAnsi" w:hAnsiTheme="minorHAnsi" w:cstheme="minorHAnsi"/>
                <w:color w:val="000000"/>
                <w:sz w:val="21"/>
                <w:szCs w:val="21"/>
              </w:rPr>
              <w:t>/ivory gull</w:t>
            </w:r>
          </w:p>
        </w:tc>
      </w:tr>
      <w:tr w:rsidR="00645F89" w:rsidRPr="00CA7672" w14:paraId="127375DA" w14:textId="77777777" w:rsidTr="00F51724">
        <w:tc>
          <w:tcPr>
            <w:tcW w:w="2563" w:type="dxa"/>
          </w:tcPr>
          <w:p w14:paraId="14FD7FC9" w14:textId="77777777"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Area Assessed</w:t>
            </w:r>
          </w:p>
        </w:tc>
        <w:tc>
          <w:tcPr>
            <w:tcW w:w="7610" w:type="dxa"/>
          </w:tcPr>
          <w:p w14:paraId="5C1BEDC7" w14:textId="5E9284D0"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OSPAR Regions where the species occurs: I</w:t>
            </w:r>
          </w:p>
          <w:p w14:paraId="367DC821" w14:textId="594C1381" w:rsidR="00645F89" w:rsidRPr="00CA7672" w:rsidRDefault="00645F89" w:rsidP="00645F89">
            <w:pPr>
              <w:tabs>
                <w:tab w:val="clear" w:pos="567"/>
              </w:tabs>
              <w:spacing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OSPAR Regions where species </w:t>
            </w:r>
            <w:proofErr w:type="gramStart"/>
            <w:r w:rsidRPr="00CA7672">
              <w:rPr>
                <w:rFonts w:asciiTheme="minorHAnsi" w:hAnsiTheme="minorHAnsi" w:cstheme="minorHAnsi"/>
                <w:color w:val="000000"/>
                <w:sz w:val="21"/>
                <w:szCs w:val="21"/>
              </w:rPr>
              <w:t>is</w:t>
            </w:r>
            <w:proofErr w:type="gramEnd"/>
            <w:r w:rsidRPr="00CA7672">
              <w:rPr>
                <w:rFonts w:asciiTheme="minorHAnsi" w:hAnsiTheme="minorHAnsi" w:cstheme="minorHAnsi"/>
                <w:color w:val="000000"/>
                <w:sz w:val="21"/>
                <w:szCs w:val="21"/>
              </w:rPr>
              <w:t xml:space="preserve"> under threat and/or decline: I</w:t>
            </w:r>
          </w:p>
        </w:tc>
      </w:tr>
      <w:tr w:rsidR="00645F89" w:rsidRPr="00CA7672" w14:paraId="25B49438" w14:textId="77777777" w:rsidTr="00F51724">
        <w:tc>
          <w:tcPr>
            <w:tcW w:w="2563" w:type="dxa"/>
            <w:tcBorders>
              <w:bottom w:val="single" w:sz="4" w:space="0" w:color="auto"/>
            </w:tcBorders>
          </w:tcPr>
          <w:p w14:paraId="727CFA31" w14:textId="77777777"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Title</w:t>
            </w:r>
          </w:p>
        </w:tc>
        <w:tc>
          <w:tcPr>
            <w:tcW w:w="7610" w:type="dxa"/>
            <w:tcBorders>
              <w:bottom w:val="single" w:sz="4" w:space="0" w:color="auto"/>
            </w:tcBorders>
          </w:tcPr>
          <w:p w14:paraId="3F972D60" w14:textId="70C82D11" w:rsidR="00645F89" w:rsidRPr="00CA7672" w:rsidRDefault="00992F76" w:rsidP="00645F89">
            <w:pPr>
              <w:tabs>
                <w:tab w:val="clear" w:pos="567"/>
              </w:tabs>
              <w:spacing w:before="120" w:line="240" w:lineRule="auto"/>
              <w:rPr>
                <w:rFonts w:asciiTheme="minorHAnsi" w:hAnsiTheme="minorHAnsi" w:cstheme="minorHAnsi"/>
                <w:color w:val="000000"/>
                <w:sz w:val="21"/>
                <w:szCs w:val="21"/>
              </w:rPr>
            </w:pPr>
            <w:r>
              <w:rPr>
                <w:rFonts w:asciiTheme="minorHAnsi" w:hAnsiTheme="minorHAnsi" w:cstheme="minorHAnsi"/>
                <w:color w:val="000000"/>
                <w:sz w:val="21"/>
                <w:szCs w:val="21"/>
              </w:rPr>
              <w:t>S</w:t>
            </w:r>
            <w:r w:rsidRPr="00CA7672">
              <w:rPr>
                <w:rFonts w:asciiTheme="minorHAnsi" w:hAnsiTheme="minorHAnsi" w:cstheme="minorHAnsi"/>
                <w:color w:val="000000"/>
                <w:sz w:val="21"/>
                <w:szCs w:val="21"/>
              </w:rPr>
              <w:t>tatus assessment</w:t>
            </w:r>
            <w:r w:rsidRPr="00CA7672">
              <w:rPr>
                <w:rFonts w:asciiTheme="minorHAnsi" w:hAnsiTheme="minorHAnsi" w:cstheme="minorHAnsi"/>
                <w:color w:val="000000"/>
                <w:sz w:val="21"/>
                <w:szCs w:val="21"/>
              </w:rPr>
              <w:t xml:space="preserve"> </w:t>
            </w:r>
            <w:r>
              <w:rPr>
                <w:rFonts w:asciiTheme="minorHAnsi" w:hAnsiTheme="minorHAnsi" w:cstheme="minorHAnsi"/>
                <w:color w:val="000000"/>
                <w:sz w:val="21"/>
                <w:szCs w:val="21"/>
              </w:rPr>
              <w:t xml:space="preserve">2025 - </w:t>
            </w:r>
            <w:r w:rsidR="00645F89" w:rsidRPr="00CA7672">
              <w:rPr>
                <w:rFonts w:asciiTheme="minorHAnsi" w:hAnsiTheme="minorHAnsi" w:cstheme="minorHAnsi"/>
                <w:color w:val="000000"/>
                <w:sz w:val="21"/>
                <w:szCs w:val="21"/>
              </w:rPr>
              <w:t>Ivory gu</w:t>
            </w:r>
            <w:r>
              <w:rPr>
                <w:rFonts w:asciiTheme="minorHAnsi" w:hAnsiTheme="minorHAnsi" w:cstheme="minorHAnsi"/>
                <w:color w:val="000000"/>
                <w:sz w:val="21"/>
                <w:szCs w:val="21"/>
              </w:rPr>
              <w:t>ll</w:t>
            </w:r>
          </w:p>
        </w:tc>
      </w:tr>
      <w:tr w:rsidR="00645F89" w:rsidRPr="00CA7672" w14:paraId="764A6542" w14:textId="77777777" w:rsidTr="00F51724">
        <w:tc>
          <w:tcPr>
            <w:tcW w:w="2563" w:type="dxa"/>
          </w:tcPr>
          <w:p w14:paraId="1BA6E1BE" w14:textId="77777777"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Key message</w:t>
            </w:r>
          </w:p>
        </w:tc>
        <w:tc>
          <w:tcPr>
            <w:tcW w:w="7610" w:type="dxa"/>
          </w:tcPr>
          <w:p w14:paraId="6C2EEEBE" w14:textId="1F37E277" w:rsidR="00645F89" w:rsidRDefault="00645F89" w:rsidP="00645F89">
            <w:pPr>
              <w:tabs>
                <w:tab w:val="clear" w:pos="567"/>
              </w:tabs>
              <w:spacing w:before="120" w:after="100" w:afterAutospacing="1" w:line="240" w:lineRule="auto"/>
              <w:rPr>
                <w:rFonts w:asciiTheme="minorHAnsi" w:hAnsiTheme="minorHAnsi" w:cstheme="minorHAnsi"/>
                <w:color w:val="000000"/>
                <w:sz w:val="21"/>
                <w:szCs w:val="21"/>
                <w:lang w:eastAsia="en-GB"/>
              </w:rPr>
            </w:pPr>
            <w:bookmarkStart w:id="0" w:name="_Hlk203635998"/>
            <w:r w:rsidRPr="00CA7672">
              <w:rPr>
                <w:rFonts w:asciiTheme="minorHAnsi" w:hAnsiTheme="minorHAnsi" w:cstheme="minorHAnsi"/>
                <w:color w:val="000000"/>
                <w:sz w:val="21"/>
                <w:szCs w:val="21"/>
                <w:lang w:eastAsia="en-GB"/>
              </w:rPr>
              <w:t xml:space="preserve">The world population of </w:t>
            </w:r>
            <w:proofErr w:type="gramStart"/>
            <w:r w:rsidRPr="00CA7672">
              <w:rPr>
                <w:rFonts w:asciiTheme="minorHAnsi" w:hAnsiTheme="minorHAnsi" w:cstheme="minorHAnsi"/>
                <w:color w:val="000000"/>
                <w:sz w:val="21"/>
                <w:szCs w:val="21"/>
                <w:lang w:eastAsia="en-GB"/>
              </w:rPr>
              <w:t>the ivory gull</w:t>
            </w:r>
            <w:proofErr w:type="gramEnd"/>
            <w:r w:rsidRPr="00CA7672">
              <w:rPr>
                <w:rFonts w:asciiTheme="minorHAnsi" w:hAnsiTheme="minorHAnsi" w:cstheme="minorHAnsi"/>
                <w:color w:val="000000"/>
                <w:sz w:val="21"/>
                <w:szCs w:val="21"/>
                <w:lang w:eastAsia="en-GB"/>
              </w:rPr>
              <w:t xml:space="preserve"> is declining. This decline is also evident in </w:t>
            </w:r>
            <w:r w:rsidR="0011217F" w:rsidRPr="00CA7672">
              <w:rPr>
                <w:rFonts w:asciiTheme="minorHAnsi" w:hAnsiTheme="minorHAnsi" w:cstheme="minorHAnsi"/>
                <w:color w:val="000000"/>
                <w:sz w:val="21"/>
                <w:szCs w:val="21"/>
                <w:lang w:eastAsia="en-GB"/>
              </w:rPr>
              <w:t xml:space="preserve">Arctic Waters </w:t>
            </w:r>
            <w:r w:rsidR="00CA7672" w:rsidRPr="00CA7672">
              <w:rPr>
                <w:rFonts w:asciiTheme="minorHAnsi" w:hAnsiTheme="minorHAnsi" w:cstheme="minorHAnsi"/>
                <w:color w:val="000000"/>
                <w:sz w:val="21"/>
                <w:szCs w:val="21"/>
                <w:lang w:eastAsia="en-GB"/>
              </w:rPr>
              <w:t xml:space="preserve">(Region I) </w:t>
            </w:r>
            <w:r w:rsidRPr="00CA7672">
              <w:rPr>
                <w:rFonts w:asciiTheme="minorHAnsi" w:hAnsiTheme="minorHAnsi" w:cstheme="minorHAnsi"/>
                <w:color w:val="000000"/>
                <w:sz w:val="21"/>
                <w:szCs w:val="21"/>
                <w:lang w:eastAsia="en-GB"/>
              </w:rPr>
              <w:t xml:space="preserve">with a 40% reduction in breeding numbers in Svalbard. Numbers seem to be stable in Greenland, but this may change as the species is threatened by pollution and </w:t>
            </w:r>
            <w:r w:rsidR="00B23402" w:rsidRPr="00CA7672">
              <w:rPr>
                <w:rFonts w:asciiTheme="minorHAnsi" w:hAnsiTheme="minorHAnsi" w:cstheme="minorHAnsi"/>
                <w:color w:val="000000"/>
                <w:sz w:val="21"/>
                <w:szCs w:val="21"/>
                <w:lang w:eastAsia="en-GB"/>
              </w:rPr>
              <w:t>the disappearance</w:t>
            </w:r>
            <w:r w:rsidRPr="00CA7672">
              <w:rPr>
                <w:rFonts w:asciiTheme="minorHAnsi" w:hAnsiTheme="minorHAnsi" w:cstheme="minorHAnsi"/>
                <w:color w:val="000000"/>
                <w:sz w:val="21"/>
                <w:szCs w:val="21"/>
                <w:lang w:eastAsia="en-GB"/>
              </w:rPr>
              <w:t xml:space="preserve"> of its key habitat: sea-ice.</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7"/>
              <w:gridCol w:w="304"/>
              <w:gridCol w:w="1137"/>
              <w:gridCol w:w="1067"/>
              <w:gridCol w:w="1177"/>
              <w:gridCol w:w="1121"/>
              <w:gridCol w:w="1731"/>
            </w:tblGrid>
            <w:tr w:rsidR="0005139C" w:rsidRPr="0005139C" w14:paraId="401F03CA" w14:textId="77777777" w:rsidTr="0005139C">
              <w:trPr>
                <w:tblHeader/>
                <w:tblCellSpacing w:w="7" w:type="dxa"/>
                <w:jc w:val="center"/>
              </w:trPr>
              <w:tc>
                <w:tcPr>
                  <w:tcW w:w="0" w:type="auto"/>
                  <w:gridSpan w:val="2"/>
                  <w:vAlign w:val="center"/>
                  <w:hideMark/>
                </w:tcPr>
                <w:p w14:paraId="2FA04A4E"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t>Assessment of status</w:t>
                  </w:r>
                </w:p>
              </w:tc>
              <w:tc>
                <w:tcPr>
                  <w:tcW w:w="0" w:type="auto"/>
                  <w:vAlign w:val="center"/>
                  <w:hideMark/>
                </w:tcPr>
                <w:p w14:paraId="334F6B47"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t>Breeding distribution</w:t>
                  </w:r>
                </w:p>
              </w:tc>
              <w:tc>
                <w:tcPr>
                  <w:tcW w:w="0" w:type="auto"/>
                  <w:vAlign w:val="center"/>
                  <w:hideMark/>
                </w:tcPr>
                <w:p w14:paraId="08D34D93"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t>Breeding population size</w:t>
                  </w:r>
                </w:p>
              </w:tc>
              <w:tc>
                <w:tcPr>
                  <w:tcW w:w="0" w:type="auto"/>
                  <w:vAlign w:val="center"/>
                  <w:hideMark/>
                </w:tcPr>
                <w:p w14:paraId="2D53BE85"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t>Condition, e.g. productivity</w:t>
                  </w:r>
                </w:p>
              </w:tc>
              <w:tc>
                <w:tcPr>
                  <w:tcW w:w="0" w:type="auto"/>
                  <w:vAlign w:val="center"/>
                  <w:hideMark/>
                </w:tcPr>
                <w:p w14:paraId="00C0BE0D"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t>Previous OSPAR status assessment</w:t>
                  </w:r>
                </w:p>
              </w:tc>
              <w:tc>
                <w:tcPr>
                  <w:tcW w:w="0" w:type="auto"/>
                  <w:vAlign w:val="center"/>
                  <w:hideMark/>
                </w:tcPr>
                <w:p w14:paraId="7D47A201"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t>Overall status assessment</w:t>
                  </w:r>
                </w:p>
              </w:tc>
            </w:tr>
            <w:tr w:rsidR="0005139C" w:rsidRPr="0005139C" w14:paraId="522988A1" w14:textId="77777777" w:rsidTr="0005139C">
              <w:trPr>
                <w:tblCellSpacing w:w="7" w:type="dxa"/>
                <w:jc w:val="center"/>
              </w:trPr>
              <w:tc>
                <w:tcPr>
                  <w:tcW w:w="0" w:type="auto"/>
                  <w:vMerge w:val="restart"/>
                  <w:vAlign w:val="center"/>
                  <w:hideMark/>
                </w:tcPr>
                <w:p w14:paraId="00E13254" w14:textId="77777777" w:rsidR="0005139C" w:rsidRPr="0005139C" w:rsidRDefault="0005139C" w:rsidP="0005139C">
                  <w:pPr>
                    <w:tabs>
                      <w:tab w:val="clear" w:pos="567"/>
                    </w:tabs>
                    <w:spacing w:after="0" w:line="240" w:lineRule="auto"/>
                    <w:jc w:val="center"/>
                    <w:rPr>
                      <w:rFonts w:asciiTheme="minorHAnsi" w:hAnsiTheme="minorHAnsi" w:cstheme="minorHAnsi"/>
                      <w:b/>
                      <w:bCs/>
                      <w:color w:val="auto"/>
                      <w:szCs w:val="22"/>
                      <w:lang w:eastAsia="en-GB"/>
                    </w:rPr>
                  </w:pPr>
                  <w:r w:rsidRPr="0005139C">
                    <w:rPr>
                      <w:rFonts w:asciiTheme="minorHAnsi" w:hAnsiTheme="minorHAnsi" w:cstheme="minorHAnsi"/>
                      <w:b/>
                      <w:bCs/>
                      <w:color w:val="auto"/>
                      <w:szCs w:val="22"/>
                      <w:lang w:eastAsia="en-GB"/>
                    </w:rPr>
                    <w:br/>
                  </w:r>
                  <w:r w:rsidRPr="0005139C">
                    <w:rPr>
                      <w:rFonts w:asciiTheme="minorHAnsi" w:hAnsiTheme="minorHAnsi" w:cstheme="minorHAnsi"/>
                      <w:b/>
                      <w:bCs/>
                      <w:color w:val="auto"/>
                      <w:szCs w:val="22"/>
                      <w:lang w:eastAsia="en-GB"/>
                    </w:rPr>
                    <w:br/>
                  </w:r>
                  <w:r w:rsidRPr="0005139C">
                    <w:rPr>
                      <w:rFonts w:asciiTheme="minorHAnsi" w:hAnsiTheme="minorHAnsi" w:cstheme="minorHAnsi"/>
                      <w:b/>
                      <w:bCs/>
                      <w:color w:val="auto"/>
                      <w:szCs w:val="22"/>
                      <w:lang w:eastAsia="en-GB"/>
                    </w:rPr>
                    <w:br/>
                    <w:t>Region</w:t>
                  </w:r>
                </w:p>
              </w:tc>
              <w:tc>
                <w:tcPr>
                  <w:tcW w:w="0" w:type="auto"/>
                  <w:vAlign w:val="center"/>
                  <w:hideMark/>
                </w:tcPr>
                <w:p w14:paraId="5A54811A"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b/>
                      <w:bCs/>
                      <w:color w:val="auto"/>
                      <w:szCs w:val="22"/>
                      <w:lang w:eastAsia="en-GB"/>
                    </w:rPr>
                    <w:t>I</w:t>
                  </w:r>
                </w:p>
              </w:tc>
              <w:tc>
                <w:tcPr>
                  <w:tcW w:w="0" w:type="auto"/>
                  <w:shd w:val="clear" w:color="auto" w:fill="00FF00"/>
                  <w:vAlign w:val="center"/>
                  <w:hideMark/>
                </w:tcPr>
                <w:p w14:paraId="76E9B250"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w:t>
                  </w:r>
                  <w:r w:rsidRPr="0005139C">
                    <w:rPr>
                      <w:rFonts w:asciiTheme="minorHAnsi" w:hAnsiTheme="minorHAnsi" w:cstheme="minorHAnsi"/>
                      <w:color w:val="auto"/>
                      <w:szCs w:val="22"/>
                      <w:vertAlign w:val="superscript"/>
                      <w:lang w:eastAsia="en-GB"/>
                    </w:rPr>
                    <w:t>1,3,5</w:t>
                  </w:r>
                </w:p>
              </w:tc>
              <w:tc>
                <w:tcPr>
                  <w:tcW w:w="0" w:type="auto"/>
                  <w:shd w:val="clear" w:color="auto" w:fill="FF0000"/>
                  <w:vAlign w:val="center"/>
                  <w:hideMark/>
                </w:tcPr>
                <w:p w14:paraId="7E6A93A1"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w:t>
                  </w:r>
                  <w:r w:rsidRPr="0005139C">
                    <w:rPr>
                      <w:rFonts w:asciiTheme="minorHAnsi" w:hAnsiTheme="minorHAnsi" w:cstheme="minorHAnsi"/>
                      <w:color w:val="auto"/>
                      <w:szCs w:val="22"/>
                      <w:vertAlign w:val="superscript"/>
                      <w:lang w:eastAsia="en-GB"/>
                    </w:rPr>
                    <w:t>1,3,5</w:t>
                  </w:r>
                </w:p>
              </w:tc>
              <w:tc>
                <w:tcPr>
                  <w:tcW w:w="0" w:type="auto"/>
                  <w:shd w:val="clear" w:color="auto" w:fill="DAEEF3"/>
                  <w:vAlign w:val="center"/>
                  <w:hideMark/>
                </w:tcPr>
                <w:p w14:paraId="59AE8F55"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w:t>
                  </w:r>
                </w:p>
              </w:tc>
              <w:tc>
                <w:tcPr>
                  <w:tcW w:w="0" w:type="auto"/>
                  <w:vAlign w:val="center"/>
                  <w:hideMark/>
                </w:tcPr>
                <w:p w14:paraId="18BD95DC" w14:textId="1B66E874"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CA7672">
                    <w:rPr>
                      <w:rFonts w:asciiTheme="minorHAnsi" w:hAnsiTheme="minorHAnsi" w:cstheme="minorHAnsi"/>
                      <w:b/>
                      <w:color w:val="000000"/>
                      <w:sz w:val="21"/>
                      <w:szCs w:val="21"/>
                    </w:rPr>
                    <w:t>●</w:t>
                  </w:r>
                </w:p>
              </w:tc>
              <w:tc>
                <w:tcPr>
                  <w:tcW w:w="0" w:type="auto"/>
                  <w:shd w:val="clear" w:color="auto" w:fill="FD0000"/>
                  <w:vAlign w:val="center"/>
                  <w:hideMark/>
                </w:tcPr>
                <w:p w14:paraId="3C2AD491"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w:t>
                  </w:r>
                  <w:r w:rsidRPr="0005139C">
                    <w:rPr>
                      <w:rFonts w:asciiTheme="minorHAnsi" w:hAnsiTheme="minorHAnsi" w:cstheme="minorHAnsi"/>
                      <w:color w:val="auto"/>
                      <w:szCs w:val="22"/>
                      <w:vertAlign w:val="superscript"/>
                      <w:lang w:eastAsia="en-GB"/>
                    </w:rPr>
                    <w:t>1,3,5</w:t>
                  </w:r>
                </w:p>
              </w:tc>
            </w:tr>
            <w:tr w:rsidR="0005139C" w:rsidRPr="0005139C" w14:paraId="07D8C24E" w14:textId="77777777" w:rsidTr="0005139C">
              <w:trPr>
                <w:tblCellSpacing w:w="7" w:type="dxa"/>
                <w:jc w:val="center"/>
              </w:trPr>
              <w:tc>
                <w:tcPr>
                  <w:tcW w:w="0" w:type="auto"/>
                  <w:vMerge/>
                  <w:vAlign w:val="center"/>
                  <w:hideMark/>
                </w:tcPr>
                <w:p w14:paraId="1E6B6D0B"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Cs w:val="22"/>
                      <w:lang w:eastAsia="en-GB"/>
                    </w:rPr>
                  </w:pPr>
                </w:p>
              </w:tc>
              <w:tc>
                <w:tcPr>
                  <w:tcW w:w="0" w:type="auto"/>
                  <w:vAlign w:val="center"/>
                  <w:hideMark/>
                </w:tcPr>
                <w:p w14:paraId="1A430FB2"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b/>
                      <w:bCs/>
                      <w:color w:val="auto"/>
                      <w:szCs w:val="22"/>
                      <w:lang w:eastAsia="en-GB"/>
                    </w:rPr>
                    <w:t>II</w:t>
                  </w:r>
                </w:p>
              </w:tc>
              <w:tc>
                <w:tcPr>
                  <w:tcW w:w="0" w:type="auto"/>
                  <w:vAlign w:val="center"/>
                  <w:hideMark/>
                </w:tcPr>
                <w:p w14:paraId="19BDEB32"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25F4943D"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32E7AF0B"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7D330C63"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2A6F388A"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r>
            <w:tr w:rsidR="0005139C" w:rsidRPr="0005139C" w14:paraId="2F474015" w14:textId="77777777" w:rsidTr="0005139C">
              <w:trPr>
                <w:tblCellSpacing w:w="7" w:type="dxa"/>
                <w:jc w:val="center"/>
              </w:trPr>
              <w:tc>
                <w:tcPr>
                  <w:tcW w:w="0" w:type="auto"/>
                  <w:vMerge/>
                  <w:vAlign w:val="center"/>
                  <w:hideMark/>
                </w:tcPr>
                <w:p w14:paraId="21A2D858"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Cs w:val="22"/>
                      <w:lang w:eastAsia="en-GB"/>
                    </w:rPr>
                  </w:pPr>
                </w:p>
              </w:tc>
              <w:tc>
                <w:tcPr>
                  <w:tcW w:w="0" w:type="auto"/>
                  <w:vAlign w:val="center"/>
                  <w:hideMark/>
                </w:tcPr>
                <w:p w14:paraId="7F526FAC"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b/>
                      <w:bCs/>
                      <w:color w:val="auto"/>
                      <w:szCs w:val="22"/>
                      <w:lang w:eastAsia="en-GB"/>
                    </w:rPr>
                    <w:t>III</w:t>
                  </w:r>
                </w:p>
              </w:tc>
              <w:tc>
                <w:tcPr>
                  <w:tcW w:w="0" w:type="auto"/>
                  <w:vAlign w:val="center"/>
                  <w:hideMark/>
                </w:tcPr>
                <w:p w14:paraId="1893132C"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5D5331DC"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5BACAB93"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0A3EFA67"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2D18E649"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r>
            <w:tr w:rsidR="0005139C" w:rsidRPr="0005139C" w14:paraId="662C6FFD" w14:textId="77777777" w:rsidTr="0005139C">
              <w:trPr>
                <w:tblCellSpacing w:w="7" w:type="dxa"/>
                <w:jc w:val="center"/>
              </w:trPr>
              <w:tc>
                <w:tcPr>
                  <w:tcW w:w="0" w:type="auto"/>
                  <w:vMerge/>
                  <w:vAlign w:val="center"/>
                  <w:hideMark/>
                </w:tcPr>
                <w:p w14:paraId="5B723CFE"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Cs w:val="22"/>
                      <w:lang w:eastAsia="en-GB"/>
                    </w:rPr>
                  </w:pPr>
                </w:p>
              </w:tc>
              <w:tc>
                <w:tcPr>
                  <w:tcW w:w="0" w:type="auto"/>
                  <w:vAlign w:val="center"/>
                  <w:hideMark/>
                </w:tcPr>
                <w:p w14:paraId="489AD488"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b/>
                      <w:bCs/>
                      <w:color w:val="auto"/>
                      <w:szCs w:val="22"/>
                      <w:lang w:eastAsia="en-GB"/>
                    </w:rPr>
                    <w:t>IV</w:t>
                  </w:r>
                </w:p>
              </w:tc>
              <w:tc>
                <w:tcPr>
                  <w:tcW w:w="0" w:type="auto"/>
                  <w:vAlign w:val="center"/>
                  <w:hideMark/>
                </w:tcPr>
                <w:p w14:paraId="76D853B3"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640FE240"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5067A490"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3321170F"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177E5FC3"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r>
            <w:tr w:rsidR="0005139C" w:rsidRPr="0005139C" w14:paraId="0B5632A0" w14:textId="77777777" w:rsidTr="0005139C">
              <w:trPr>
                <w:tblCellSpacing w:w="7" w:type="dxa"/>
                <w:jc w:val="center"/>
              </w:trPr>
              <w:tc>
                <w:tcPr>
                  <w:tcW w:w="0" w:type="auto"/>
                  <w:vMerge/>
                  <w:vAlign w:val="center"/>
                  <w:hideMark/>
                </w:tcPr>
                <w:p w14:paraId="51D126EF"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Cs w:val="22"/>
                      <w:lang w:eastAsia="en-GB"/>
                    </w:rPr>
                  </w:pPr>
                </w:p>
              </w:tc>
              <w:tc>
                <w:tcPr>
                  <w:tcW w:w="0" w:type="auto"/>
                  <w:vAlign w:val="center"/>
                  <w:hideMark/>
                </w:tcPr>
                <w:p w14:paraId="5FCF797C"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b/>
                      <w:bCs/>
                      <w:color w:val="auto"/>
                      <w:szCs w:val="22"/>
                      <w:lang w:eastAsia="en-GB"/>
                    </w:rPr>
                    <w:t>V</w:t>
                  </w:r>
                </w:p>
              </w:tc>
              <w:tc>
                <w:tcPr>
                  <w:tcW w:w="0" w:type="auto"/>
                  <w:vAlign w:val="center"/>
                  <w:hideMark/>
                </w:tcPr>
                <w:p w14:paraId="35748202"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51AC5926"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5BE4D926"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756B788B"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c>
                <w:tcPr>
                  <w:tcW w:w="0" w:type="auto"/>
                  <w:vAlign w:val="center"/>
                  <w:hideMark/>
                </w:tcPr>
                <w:p w14:paraId="36FC625C" w14:textId="77777777" w:rsidR="0005139C" w:rsidRPr="0005139C" w:rsidRDefault="0005139C" w:rsidP="0005139C">
                  <w:pPr>
                    <w:tabs>
                      <w:tab w:val="clear" w:pos="567"/>
                    </w:tabs>
                    <w:spacing w:after="0" w:line="240" w:lineRule="auto"/>
                    <w:jc w:val="center"/>
                    <w:rPr>
                      <w:rFonts w:asciiTheme="minorHAnsi" w:hAnsiTheme="minorHAnsi" w:cstheme="minorHAnsi"/>
                      <w:color w:val="auto"/>
                      <w:szCs w:val="22"/>
                      <w:lang w:eastAsia="en-GB"/>
                    </w:rPr>
                  </w:pPr>
                  <w:r w:rsidRPr="0005139C">
                    <w:rPr>
                      <w:rFonts w:asciiTheme="minorHAnsi" w:hAnsiTheme="minorHAnsi" w:cstheme="minorHAnsi"/>
                      <w:color w:val="auto"/>
                      <w:szCs w:val="22"/>
                      <w:lang w:eastAsia="en-GB"/>
                    </w:rPr>
                    <w:t>NA</w:t>
                  </w:r>
                </w:p>
              </w:tc>
            </w:tr>
          </w:tbl>
          <w:bookmarkEnd w:id="0"/>
          <w:p w14:paraId="0BFE7E25" w14:textId="77777777" w:rsidR="00645F89" w:rsidRPr="00CA7672" w:rsidRDefault="00645F89" w:rsidP="00645F89">
            <w:pPr>
              <w:tabs>
                <w:tab w:val="clear" w:pos="567"/>
              </w:tabs>
              <w:spacing w:before="100" w:beforeAutospacing="1" w:after="100" w:afterAutospacing="1" w:line="240" w:lineRule="auto"/>
              <w:rPr>
                <w:rFonts w:asciiTheme="minorHAnsi" w:hAnsiTheme="minorHAnsi" w:cstheme="minorHAnsi"/>
                <w:b/>
                <w:color w:val="000000"/>
                <w:sz w:val="21"/>
                <w:szCs w:val="21"/>
                <w:u w:val="single"/>
              </w:rPr>
            </w:pPr>
            <w:r w:rsidRPr="00CA7672">
              <w:rPr>
                <w:rFonts w:asciiTheme="minorHAnsi" w:hAnsiTheme="minorHAnsi" w:cstheme="minorHAnsi"/>
                <w:b/>
                <w:color w:val="000000"/>
                <w:sz w:val="21"/>
                <w:szCs w:val="21"/>
                <w:u w:val="single"/>
                <w:lang w:eastAsia="en-GB"/>
              </w:rPr>
              <w:t>Assessment of population status</w:t>
            </w:r>
            <w:r w:rsidRPr="00CA7672">
              <w:rPr>
                <w:rFonts w:asciiTheme="minorHAnsi" w:hAnsiTheme="minorHAnsi" w:cstheme="minorHAnsi"/>
                <w:color w:val="000000"/>
                <w:sz w:val="21"/>
                <w:szCs w:val="21"/>
                <w:lang w:eastAsia="en-GB"/>
              </w:rPr>
              <w:t>:</w:t>
            </w:r>
          </w:p>
          <w:p w14:paraId="3D3A08AA"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shd w:val="clear" w:color="auto" w:fill="FF0000"/>
              </w:rPr>
              <w:t>Red</w:t>
            </w:r>
            <w:r w:rsidRPr="00CA7672">
              <w:rPr>
                <w:rFonts w:asciiTheme="minorHAnsi" w:hAnsiTheme="minorHAnsi" w:cstheme="minorHAnsi"/>
                <w:color w:val="000000"/>
                <w:sz w:val="21"/>
                <w:szCs w:val="21"/>
              </w:rPr>
              <w:t xml:space="preserve"> – poor </w:t>
            </w:r>
          </w:p>
          <w:p w14:paraId="766B3693"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shd w:val="clear" w:color="auto" w:fill="B3E5A1"/>
              </w:rPr>
              <w:t>Green</w:t>
            </w:r>
            <w:r w:rsidRPr="00CA7672">
              <w:rPr>
                <w:rFonts w:asciiTheme="minorHAnsi" w:hAnsiTheme="minorHAnsi" w:cstheme="minorHAnsi"/>
                <w:color w:val="000000"/>
                <w:sz w:val="21"/>
                <w:szCs w:val="21"/>
              </w:rPr>
              <w:t xml:space="preserve"> – good</w:t>
            </w:r>
          </w:p>
          <w:p w14:paraId="0A1996EC"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shd w:val="clear" w:color="auto" w:fill="DAEEF3"/>
              </w:rPr>
              <w:t>Blue –</w:t>
            </w:r>
            <w:r w:rsidRPr="00CA7672">
              <w:rPr>
                <w:rFonts w:asciiTheme="minorHAnsi" w:hAnsiTheme="minorHAnsi" w:cstheme="minorHAnsi"/>
                <w:color w:val="000000"/>
                <w:sz w:val="21"/>
                <w:szCs w:val="21"/>
              </w:rPr>
              <w:t xml:space="preserve"> insufficient information available,</w:t>
            </w:r>
          </w:p>
          <w:p w14:paraId="12BF9668" w14:textId="77777777" w:rsidR="00645F89" w:rsidRPr="00CA7672" w:rsidRDefault="00645F89" w:rsidP="00645F89">
            <w:pPr>
              <w:tabs>
                <w:tab w:val="clear" w:pos="567"/>
              </w:tabs>
              <w:spacing w:after="0" w:line="240" w:lineRule="auto"/>
              <w:rPr>
                <w:rFonts w:asciiTheme="minorHAnsi" w:hAnsiTheme="minorHAnsi" w:cstheme="minorHAnsi"/>
                <w:i/>
                <w:color w:val="000000"/>
                <w:sz w:val="21"/>
                <w:szCs w:val="21"/>
              </w:rPr>
            </w:pPr>
            <w:r w:rsidRPr="00CA7672">
              <w:rPr>
                <w:rFonts w:asciiTheme="minorHAnsi" w:hAnsiTheme="minorHAnsi" w:cstheme="minorHAnsi"/>
                <w:color w:val="000000"/>
                <w:sz w:val="21"/>
                <w:szCs w:val="21"/>
                <w:shd w:val="clear" w:color="auto" w:fill="D9D9D9"/>
              </w:rPr>
              <w:t>NA</w:t>
            </w:r>
            <w:r w:rsidRPr="00CA7672">
              <w:rPr>
                <w:rFonts w:asciiTheme="minorHAnsi" w:hAnsiTheme="minorHAnsi" w:cstheme="minorHAnsi"/>
                <w:iCs/>
                <w:color w:val="000000"/>
                <w:sz w:val="21"/>
                <w:szCs w:val="21"/>
              </w:rPr>
              <w:t xml:space="preserve"> - Not Applicable</w:t>
            </w:r>
            <w:r w:rsidRPr="00CA7672">
              <w:rPr>
                <w:rFonts w:asciiTheme="minorHAnsi" w:hAnsiTheme="minorHAnsi" w:cstheme="minorHAnsi"/>
                <w:i/>
                <w:color w:val="000000"/>
                <w:sz w:val="21"/>
                <w:szCs w:val="21"/>
              </w:rPr>
              <w:t xml:space="preserve"> </w:t>
            </w:r>
          </w:p>
          <w:p w14:paraId="5AF9CFDF" w14:textId="77777777" w:rsidR="00645F89" w:rsidRPr="00CA7672" w:rsidRDefault="00645F89" w:rsidP="00645F89">
            <w:pPr>
              <w:tabs>
                <w:tab w:val="clear" w:pos="567"/>
              </w:tabs>
              <w:spacing w:after="0" w:line="240" w:lineRule="auto"/>
              <w:rPr>
                <w:rFonts w:asciiTheme="minorHAnsi" w:hAnsiTheme="minorHAnsi" w:cstheme="minorHAnsi"/>
                <w:i/>
                <w:color w:val="000000"/>
                <w:sz w:val="21"/>
                <w:szCs w:val="21"/>
              </w:rPr>
            </w:pPr>
          </w:p>
          <w:p w14:paraId="3CA891C7"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Applied to assessments of status of the feature / criterion, as defined by threshold values used in the QSR 2023 if available, or by expert judgement.</w:t>
            </w:r>
          </w:p>
          <w:p w14:paraId="29ED4B1F"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u w:val="single"/>
              </w:rPr>
            </w:pPr>
          </w:p>
          <w:p w14:paraId="0F67B736"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b/>
                <w:color w:val="000000"/>
                <w:sz w:val="21"/>
                <w:szCs w:val="21"/>
                <w:u w:val="single"/>
              </w:rPr>
              <w:t>Trends</w:t>
            </w:r>
            <w:r w:rsidRPr="00CA7672">
              <w:rPr>
                <w:rFonts w:asciiTheme="minorHAnsi" w:hAnsiTheme="minorHAnsi" w:cstheme="minorHAnsi"/>
                <w:color w:val="000000"/>
                <w:sz w:val="21"/>
                <w:szCs w:val="21"/>
                <w:u w:val="single"/>
              </w:rPr>
              <w:t xml:space="preserve"> </w:t>
            </w:r>
            <w:r w:rsidRPr="00CA7672">
              <w:rPr>
                <w:rFonts w:asciiTheme="minorHAnsi" w:hAnsiTheme="minorHAnsi" w:cstheme="minorHAnsi"/>
                <w:color w:val="000000"/>
                <w:sz w:val="21"/>
                <w:szCs w:val="21"/>
              </w:rPr>
              <w:t>in status (since the assessment in the background document)</w:t>
            </w:r>
          </w:p>
          <w:p w14:paraId="18EC4905"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b/>
                <w:color w:val="000000"/>
                <w:sz w:val="21"/>
                <w:szCs w:val="21"/>
              </w:rPr>
              <w:t xml:space="preserve">↓ </w:t>
            </w:r>
            <w:r w:rsidRPr="00CA7672">
              <w:rPr>
                <w:rFonts w:asciiTheme="minorHAnsi" w:hAnsiTheme="minorHAnsi" w:cstheme="minorHAnsi"/>
                <w:b/>
                <w:color w:val="000000"/>
                <w:sz w:val="21"/>
                <w:szCs w:val="21"/>
              </w:rPr>
              <w:tab/>
            </w:r>
            <w:r w:rsidRPr="00CA7672">
              <w:rPr>
                <w:rFonts w:asciiTheme="minorHAnsi" w:hAnsiTheme="minorHAnsi" w:cstheme="minorHAnsi"/>
                <w:color w:val="000000"/>
                <w:sz w:val="21"/>
                <w:szCs w:val="21"/>
              </w:rPr>
              <w:t xml:space="preserve">decreasing trend or deterioration of the criterion assessed. </w:t>
            </w:r>
          </w:p>
          <w:p w14:paraId="3BB9F359" w14:textId="77777777" w:rsidR="00645F89" w:rsidRPr="00CA7672" w:rsidRDefault="00645F89" w:rsidP="00645F89">
            <w:pPr>
              <w:tabs>
                <w:tab w:val="clear" w:pos="567"/>
              </w:tabs>
              <w:spacing w:after="0" w:line="240" w:lineRule="auto"/>
              <w:rPr>
                <w:rFonts w:asciiTheme="minorHAnsi" w:hAnsiTheme="minorHAnsi" w:cstheme="minorHAnsi"/>
                <w:b/>
                <w:color w:val="000000"/>
                <w:sz w:val="21"/>
                <w:szCs w:val="21"/>
              </w:rPr>
            </w:pPr>
            <w:r w:rsidRPr="00CA7672">
              <w:rPr>
                <w:rFonts w:asciiTheme="minorHAnsi" w:hAnsiTheme="minorHAnsi" w:cstheme="minorHAnsi"/>
                <w:b/>
                <w:color w:val="000000"/>
                <w:sz w:val="21"/>
                <w:szCs w:val="21"/>
              </w:rPr>
              <w:t>↑</w:t>
            </w:r>
            <w:r w:rsidRPr="00CA7672">
              <w:rPr>
                <w:rFonts w:asciiTheme="minorHAnsi" w:hAnsiTheme="minorHAnsi" w:cstheme="minorHAnsi"/>
                <w:color w:val="000000"/>
                <w:sz w:val="21"/>
                <w:szCs w:val="21"/>
              </w:rPr>
              <w:t xml:space="preserve"> </w:t>
            </w:r>
            <w:r w:rsidRPr="00CA7672">
              <w:rPr>
                <w:rFonts w:asciiTheme="minorHAnsi" w:hAnsiTheme="minorHAnsi" w:cstheme="minorHAnsi"/>
                <w:b/>
                <w:color w:val="000000"/>
                <w:sz w:val="21"/>
                <w:szCs w:val="21"/>
              </w:rPr>
              <w:tab/>
            </w:r>
            <w:r w:rsidRPr="00CA7672">
              <w:rPr>
                <w:rFonts w:asciiTheme="minorHAnsi" w:hAnsiTheme="minorHAnsi" w:cstheme="minorHAnsi"/>
                <w:color w:val="000000"/>
                <w:sz w:val="21"/>
                <w:szCs w:val="21"/>
              </w:rPr>
              <w:t>increasing trend or improvement in the criterion assessed.</w:t>
            </w:r>
          </w:p>
          <w:p w14:paraId="67B96F74"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b/>
                <w:color w:val="000000"/>
                <w:sz w:val="21"/>
                <w:szCs w:val="21"/>
              </w:rPr>
              <w:t xml:space="preserve">↔ </w:t>
            </w:r>
            <w:r w:rsidRPr="00CA7672">
              <w:rPr>
                <w:rFonts w:asciiTheme="minorHAnsi" w:hAnsiTheme="minorHAnsi" w:cstheme="minorHAnsi"/>
                <w:b/>
                <w:color w:val="000000"/>
                <w:sz w:val="21"/>
                <w:szCs w:val="21"/>
              </w:rPr>
              <w:tab/>
            </w:r>
            <w:r w:rsidRPr="00CA7672">
              <w:rPr>
                <w:rFonts w:asciiTheme="minorHAnsi" w:hAnsiTheme="minorHAnsi" w:cstheme="minorHAnsi"/>
                <w:color w:val="000000"/>
                <w:sz w:val="21"/>
                <w:szCs w:val="21"/>
              </w:rPr>
              <w:t>decline or deterioration of the criterion has been halted.</w:t>
            </w:r>
          </w:p>
          <w:p w14:paraId="4FF591FA"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 </w:t>
            </w:r>
            <w:r w:rsidRPr="00CA7672">
              <w:rPr>
                <w:rFonts w:asciiTheme="minorHAnsi" w:hAnsiTheme="minorHAnsi" w:cstheme="minorHAnsi"/>
                <w:b/>
                <w:color w:val="000000"/>
                <w:sz w:val="21"/>
                <w:szCs w:val="21"/>
              </w:rPr>
              <w:tab/>
            </w:r>
            <w:r w:rsidRPr="00CA7672">
              <w:rPr>
                <w:rFonts w:asciiTheme="minorHAnsi" w:hAnsiTheme="minorHAnsi" w:cstheme="minorHAnsi"/>
                <w:color w:val="000000"/>
                <w:sz w:val="21"/>
                <w:szCs w:val="21"/>
              </w:rPr>
              <w:t>unknown.</w:t>
            </w:r>
          </w:p>
          <w:p w14:paraId="1AEDFFAF"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u w:val="single"/>
              </w:rPr>
            </w:pPr>
          </w:p>
          <w:p w14:paraId="3776AA93" w14:textId="77777777" w:rsidR="00645F89" w:rsidRPr="00CA7672" w:rsidRDefault="00645F89" w:rsidP="00645F89">
            <w:pPr>
              <w:tabs>
                <w:tab w:val="clear" w:pos="567"/>
              </w:tabs>
              <w:spacing w:after="0" w:line="240" w:lineRule="auto"/>
              <w:rPr>
                <w:rFonts w:asciiTheme="minorHAnsi" w:hAnsiTheme="minorHAnsi" w:cstheme="minorHAnsi"/>
                <w:b/>
                <w:color w:val="000000"/>
                <w:sz w:val="21"/>
                <w:szCs w:val="21"/>
                <w:u w:val="single"/>
              </w:rPr>
            </w:pPr>
            <w:r w:rsidRPr="00CA7672">
              <w:rPr>
                <w:rFonts w:asciiTheme="minorHAnsi" w:hAnsiTheme="minorHAnsi" w:cstheme="minorHAnsi"/>
                <w:b/>
                <w:color w:val="000000"/>
                <w:sz w:val="21"/>
                <w:szCs w:val="21"/>
                <w:u w:val="single"/>
              </w:rPr>
              <w:t>Types of assessment:</w:t>
            </w:r>
          </w:p>
          <w:p w14:paraId="5E7AA69D"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1 – direct data driven.</w:t>
            </w:r>
          </w:p>
          <w:p w14:paraId="2256AD61"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2 – indirect data driven.</w:t>
            </w:r>
          </w:p>
          <w:p w14:paraId="72461BA1"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3 – third party assessment close-geographic match.</w:t>
            </w:r>
          </w:p>
          <w:p w14:paraId="069EF4F0"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4 - third party assessment partial-geographic match.</w:t>
            </w:r>
          </w:p>
          <w:p w14:paraId="1B2761FF" w14:textId="77777777" w:rsidR="00645F89" w:rsidRPr="00CA7672" w:rsidRDefault="00645F89" w:rsidP="00645F89">
            <w:pPr>
              <w:tabs>
                <w:tab w:val="clear" w:pos="567"/>
              </w:tabs>
              <w:spacing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5 – expert judgement.</w:t>
            </w:r>
          </w:p>
          <w:tbl>
            <w:tblPr>
              <w:tblW w:w="0" w:type="auto"/>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47"/>
              <w:gridCol w:w="336"/>
              <w:gridCol w:w="833"/>
              <w:gridCol w:w="968"/>
              <w:gridCol w:w="1140"/>
              <w:gridCol w:w="1416"/>
              <w:gridCol w:w="954"/>
              <w:gridCol w:w="790"/>
            </w:tblGrid>
            <w:tr w:rsidR="0005139C" w:rsidRPr="0005139C" w14:paraId="15B5AC21" w14:textId="77777777" w:rsidTr="0005139C">
              <w:trPr>
                <w:tblHeader/>
                <w:tblCellSpacing w:w="7" w:type="dxa"/>
                <w:jc w:val="center"/>
              </w:trPr>
              <w:tc>
                <w:tcPr>
                  <w:tcW w:w="0" w:type="auto"/>
                  <w:gridSpan w:val="2"/>
                  <w:vAlign w:val="center"/>
                  <w:hideMark/>
                </w:tcPr>
                <w:p w14:paraId="55E3CA1F"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lastRenderedPageBreak/>
                    <w:t>Assessment of threats</w:t>
                  </w:r>
                </w:p>
              </w:tc>
              <w:tc>
                <w:tcPr>
                  <w:tcW w:w="0" w:type="auto"/>
                  <w:vAlign w:val="center"/>
                  <w:hideMark/>
                </w:tcPr>
                <w:p w14:paraId="1ECDE526"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Loss of sea ice habitat</w:t>
                  </w:r>
                </w:p>
              </w:tc>
              <w:tc>
                <w:tcPr>
                  <w:tcW w:w="0" w:type="auto"/>
                  <w:vAlign w:val="center"/>
                  <w:hideMark/>
                </w:tcPr>
                <w:p w14:paraId="5BDCAD22"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Pollution</w:t>
                  </w:r>
                </w:p>
              </w:tc>
              <w:tc>
                <w:tcPr>
                  <w:tcW w:w="0" w:type="auto"/>
                  <w:vAlign w:val="center"/>
                  <w:hideMark/>
                </w:tcPr>
                <w:p w14:paraId="3BEAD262"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Ecological changes in the winter area</w:t>
                  </w:r>
                </w:p>
              </w:tc>
              <w:tc>
                <w:tcPr>
                  <w:tcW w:w="0" w:type="auto"/>
                  <w:vAlign w:val="center"/>
                  <w:hideMark/>
                </w:tcPr>
                <w:p w14:paraId="3A95DC0F"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Disturbance due to increased human activity in the Arctic</w:t>
                  </w:r>
                </w:p>
              </w:tc>
              <w:tc>
                <w:tcPr>
                  <w:tcW w:w="0" w:type="auto"/>
                  <w:vAlign w:val="center"/>
                  <w:hideMark/>
                </w:tcPr>
                <w:p w14:paraId="2227F8DA"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Hunting pressure</w:t>
                  </w:r>
                </w:p>
              </w:tc>
              <w:tc>
                <w:tcPr>
                  <w:tcW w:w="0" w:type="auto"/>
                  <w:vAlign w:val="center"/>
                  <w:hideMark/>
                </w:tcPr>
                <w:p w14:paraId="72828F05"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Threat or impact</w:t>
                  </w:r>
                </w:p>
              </w:tc>
            </w:tr>
            <w:tr w:rsidR="0005139C" w:rsidRPr="0005139C" w14:paraId="7C03F077" w14:textId="77777777" w:rsidTr="0005139C">
              <w:trPr>
                <w:tblCellSpacing w:w="7" w:type="dxa"/>
                <w:jc w:val="center"/>
              </w:trPr>
              <w:tc>
                <w:tcPr>
                  <w:tcW w:w="0" w:type="auto"/>
                  <w:vMerge w:val="restart"/>
                  <w:vAlign w:val="center"/>
                  <w:hideMark/>
                </w:tcPr>
                <w:p w14:paraId="75992475"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 </w:t>
                  </w:r>
                </w:p>
                <w:p w14:paraId="0F189EBC"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 </w:t>
                  </w:r>
                </w:p>
                <w:p w14:paraId="3E8E3A16"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b/>
                      <w:bCs/>
                      <w:color w:val="auto"/>
                      <w:sz w:val="24"/>
                      <w:szCs w:val="24"/>
                      <w:lang w:eastAsia="en-GB"/>
                    </w:rPr>
                  </w:pPr>
                  <w:r w:rsidRPr="0005139C">
                    <w:rPr>
                      <w:rFonts w:asciiTheme="minorHAnsi" w:hAnsiTheme="minorHAnsi" w:cstheme="minorHAnsi"/>
                      <w:b/>
                      <w:bCs/>
                      <w:color w:val="auto"/>
                      <w:sz w:val="24"/>
                      <w:szCs w:val="24"/>
                      <w:lang w:eastAsia="en-GB"/>
                    </w:rPr>
                    <w:t>Region</w:t>
                  </w:r>
                </w:p>
              </w:tc>
              <w:tc>
                <w:tcPr>
                  <w:tcW w:w="0" w:type="auto"/>
                  <w:vAlign w:val="center"/>
                  <w:hideMark/>
                </w:tcPr>
                <w:p w14:paraId="715722C6"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b/>
                      <w:bCs/>
                      <w:color w:val="auto"/>
                      <w:sz w:val="24"/>
                      <w:szCs w:val="24"/>
                      <w:lang w:eastAsia="en-GB"/>
                    </w:rPr>
                    <w:t>I</w:t>
                  </w:r>
                </w:p>
              </w:tc>
              <w:tc>
                <w:tcPr>
                  <w:tcW w:w="0" w:type="auto"/>
                  <w:shd w:val="clear" w:color="auto" w:fill="FD0000"/>
                  <w:vAlign w:val="center"/>
                  <w:hideMark/>
                </w:tcPr>
                <w:p w14:paraId="36DDFC64"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w:t>
                  </w:r>
                  <w:r w:rsidRPr="0005139C">
                    <w:rPr>
                      <w:rFonts w:asciiTheme="minorHAnsi" w:hAnsiTheme="minorHAnsi" w:cstheme="minorHAnsi"/>
                      <w:color w:val="auto"/>
                      <w:sz w:val="24"/>
                      <w:szCs w:val="24"/>
                      <w:vertAlign w:val="superscript"/>
                      <w:lang w:eastAsia="en-GB"/>
                    </w:rPr>
                    <w:t>1,2,3,5</w:t>
                  </w:r>
                </w:p>
              </w:tc>
              <w:tc>
                <w:tcPr>
                  <w:tcW w:w="0" w:type="auto"/>
                  <w:shd w:val="clear" w:color="auto" w:fill="FD0000"/>
                  <w:vAlign w:val="center"/>
                  <w:hideMark/>
                </w:tcPr>
                <w:p w14:paraId="7D2868E8" w14:textId="77777777" w:rsidR="0005139C" w:rsidRPr="0005139C" w:rsidRDefault="0005139C" w:rsidP="0005139C">
                  <w:pPr>
                    <w:tabs>
                      <w:tab w:val="clear" w:pos="567"/>
                    </w:tabs>
                    <w:spacing w:before="100" w:beforeAutospacing="1" w:after="100" w:afterAutospacing="1"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w:t>
                  </w:r>
                  <w:r w:rsidRPr="0005139C">
                    <w:rPr>
                      <w:rFonts w:asciiTheme="minorHAnsi" w:hAnsiTheme="minorHAnsi" w:cstheme="minorHAnsi"/>
                      <w:color w:val="auto"/>
                      <w:sz w:val="24"/>
                      <w:szCs w:val="24"/>
                      <w:vertAlign w:val="superscript"/>
                      <w:lang w:eastAsia="en-GB"/>
                    </w:rPr>
                    <w:t>1,2,3,5</w:t>
                  </w:r>
                </w:p>
              </w:tc>
              <w:tc>
                <w:tcPr>
                  <w:tcW w:w="0" w:type="auto"/>
                  <w:shd w:val="clear" w:color="auto" w:fill="FD0000"/>
                  <w:vAlign w:val="center"/>
                  <w:hideMark/>
                </w:tcPr>
                <w:p w14:paraId="124D91A8"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w:t>
                  </w:r>
                  <w:r w:rsidRPr="0005139C">
                    <w:rPr>
                      <w:rFonts w:asciiTheme="minorHAnsi" w:hAnsiTheme="minorHAnsi" w:cstheme="minorHAnsi"/>
                      <w:color w:val="auto"/>
                      <w:sz w:val="24"/>
                      <w:szCs w:val="24"/>
                      <w:vertAlign w:val="superscript"/>
                      <w:lang w:eastAsia="en-GB"/>
                    </w:rPr>
                    <w:t>3,5</w:t>
                  </w:r>
                </w:p>
              </w:tc>
              <w:tc>
                <w:tcPr>
                  <w:tcW w:w="0" w:type="auto"/>
                  <w:shd w:val="clear" w:color="auto" w:fill="DAEEF3"/>
                  <w:vAlign w:val="center"/>
                  <w:hideMark/>
                </w:tcPr>
                <w:p w14:paraId="44D999CC"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 ←→</w:t>
                  </w:r>
                </w:p>
              </w:tc>
              <w:tc>
                <w:tcPr>
                  <w:tcW w:w="0" w:type="auto"/>
                  <w:shd w:val="clear" w:color="auto" w:fill="00FF00"/>
                  <w:vAlign w:val="center"/>
                  <w:hideMark/>
                </w:tcPr>
                <w:p w14:paraId="6AEDF0B0"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w:t>
                  </w:r>
                  <w:r w:rsidRPr="0005139C">
                    <w:rPr>
                      <w:rFonts w:asciiTheme="minorHAnsi" w:hAnsiTheme="minorHAnsi" w:cstheme="minorHAnsi"/>
                      <w:color w:val="auto"/>
                      <w:sz w:val="24"/>
                      <w:szCs w:val="24"/>
                      <w:vertAlign w:val="superscript"/>
                      <w:lang w:eastAsia="en-GB"/>
                    </w:rPr>
                    <w:t>1</w:t>
                  </w:r>
                </w:p>
              </w:tc>
              <w:tc>
                <w:tcPr>
                  <w:tcW w:w="0" w:type="auto"/>
                  <w:shd w:val="clear" w:color="auto" w:fill="FD0000"/>
                  <w:vAlign w:val="center"/>
                  <w:hideMark/>
                </w:tcPr>
                <w:p w14:paraId="45377803"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w:t>
                  </w:r>
                  <w:r w:rsidRPr="0005139C">
                    <w:rPr>
                      <w:rFonts w:asciiTheme="minorHAnsi" w:hAnsiTheme="minorHAnsi" w:cstheme="minorHAnsi"/>
                      <w:color w:val="auto"/>
                      <w:sz w:val="24"/>
                      <w:szCs w:val="24"/>
                      <w:vertAlign w:val="superscript"/>
                      <w:lang w:eastAsia="en-GB"/>
                    </w:rPr>
                    <w:t>1,3,5</w:t>
                  </w:r>
                </w:p>
              </w:tc>
            </w:tr>
            <w:tr w:rsidR="0005139C" w:rsidRPr="0005139C" w14:paraId="24E56E2D" w14:textId="77777777" w:rsidTr="0005139C">
              <w:trPr>
                <w:tblCellSpacing w:w="7" w:type="dxa"/>
                <w:jc w:val="center"/>
              </w:trPr>
              <w:tc>
                <w:tcPr>
                  <w:tcW w:w="0" w:type="auto"/>
                  <w:vMerge/>
                  <w:vAlign w:val="center"/>
                  <w:hideMark/>
                </w:tcPr>
                <w:p w14:paraId="3E2CFC38"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 w:val="24"/>
                      <w:szCs w:val="24"/>
                      <w:lang w:eastAsia="en-GB"/>
                    </w:rPr>
                  </w:pPr>
                </w:p>
              </w:tc>
              <w:tc>
                <w:tcPr>
                  <w:tcW w:w="0" w:type="auto"/>
                  <w:vAlign w:val="center"/>
                  <w:hideMark/>
                </w:tcPr>
                <w:p w14:paraId="5ED4B4E7"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b/>
                      <w:bCs/>
                      <w:color w:val="auto"/>
                      <w:sz w:val="24"/>
                      <w:szCs w:val="24"/>
                      <w:lang w:eastAsia="en-GB"/>
                    </w:rPr>
                    <w:t>II</w:t>
                  </w:r>
                </w:p>
              </w:tc>
              <w:tc>
                <w:tcPr>
                  <w:tcW w:w="0" w:type="auto"/>
                  <w:vAlign w:val="center"/>
                  <w:hideMark/>
                </w:tcPr>
                <w:p w14:paraId="212CE37A"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521F85D4"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1E5DECEF"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14575B47"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76556D16"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4646CAF8"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r>
            <w:tr w:rsidR="0005139C" w:rsidRPr="0005139C" w14:paraId="1911BAFA" w14:textId="77777777" w:rsidTr="0005139C">
              <w:trPr>
                <w:tblCellSpacing w:w="7" w:type="dxa"/>
                <w:jc w:val="center"/>
              </w:trPr>
              <w:tc>
                <w:tcPr>
                  <w:tcW w:w="0" w:type="auto"/>
                  <w:vMerge/>
                  <w:vAlign w:val="center"/>
                  <w:hideMark/>
                </w:tcPr>
                <w:p w14:paraId="10C08546"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 w:val="24"/>
                      <w:szCs w:val="24"/>
                      <w:lang w:eastAsia="en-GB"/>
                    </w:rPr>
                  </w:pPr>
                </w:p>
              </w:tc>
              <w:tc>
                <w:tcPr>
                  <w:tcW w:w="0" w:type="auto"/>
                  <w:vAlign w:val="center"/>
                  <w:hideMark/>
                </w:tcPr>
                <w:p w14:paraId="44C58880"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b/>
                      <w:bCs/>
                      <w:color w:val="auto"/>
                      <w:sz w:val="24"/>
                      <w:szCs w:val="24"/>
                      <w:lang w:eastAsia="en-GB"/>
                    </w:rPr>
                    <w:t>III</w:t>
                  </w:r>
                </w:p>
              </w:tc>
              <w:tc>
                <w:tcPr>
                  <w:tcW w:w="0" w:type="auto"/>
                  <w:vAlign w:val="center"/>
                  <w:hideMark/>
                </w:tcPr>
                <w:p w14:paraId="69126792"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021C3A6A"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0FF996FA"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7521BD93"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2A72AF8F"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0CC5BDDF"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r>
            <w:tr w:rsidR="0005139C" w:rsidRPr="0005139C" w14:paraId="636793F7" w14:textId="77777777" w:rsidTr="0005139C">
              <w:trPr>
                <w:tblCellSpacing w:w="7" w:type="dxa"/>
                <w:jc w:val="center"/>
              </w:trPr>
              <w:tc>
                <w:tcPr>
                  <w:tcW w:w="0" w:type="auto"/>
                  <w:vMerge/>
                  <w:vAlign w:val="center"/>
                  <w:hideMark/>
                </w:tcPr>
                <w:p w14:paraId="583ECDAE"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 w:val="24"/>
                      <w:szCs w:val="24"/>
                      <w:lang w:eastAsia="en-GB"/>
                    </w:rPr>
                  </w:pPr>
                </w:p>
              </w:tc>
              <w:tc>
                <w:tcPr>
                  <w:tcW w:w="0" w:type="auto"/>
                  <w:vAlign w:val="center"/>
                  <w:hideMark/>
                </w:tcPr>
                <w:p w14:paraId="7C656346"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b/>
                      <w:bCs/>
                      <w:color w:val="auto"/>
                      <w:sz w:val="24"/>
                      <w:szCs w:val="24"/>
                      <w:lang w:eastAsia="en-GB"/>
                    </w:rPr>
                    <w:t>IV</w:t>
                  </w:r>
                </w:p>
              </w:tc>
              <w:tc>
                <w:tcPr>
                  <w:tcW w:w="0" w:type="auto"/>
                  <w:vAlign w:val="center"/>
                  <w:hideMark/>
                </w:tcPr>
                <w:p w14:paraId="589E772E"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524EF833"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3A94AA39"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7453238C"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34879FB5"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5206A151"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r>
            <w:tr w:rsidR="0005139C" w:rsidRPr="0005139C" w14:paraId="234B614D" w14:textId="77777777" w:rsidTr="0005139C">
              <w:trPr>
                <w:tblCellSpacing w:w="7" w:type="dxa"/>
                <w:jc w:val="center"/>
              </w:trPr>
              <w:tc>
                <w:tcPr>
                  <w:tcW w:w="0" w:type="auto"/>
                  <w:vMerge/>
                  <w:vAlign w:val="center"/>
                  <w:hideMark/>
                </w:tcPr>
                <w:p w14:paraId="17A44805" w14:textId="77777777" w:rsidR="0005139C" w:rsidRPr="0005139C" w:rsidRDefault="0005139C" w:rsidP="0005139C">
                  <w:pPr>
                    <w:tabs>
                      <w:tab w:val="clear" w:pos="567"/>
                    </w:tabs>
                    <w:spacing w:after="0" w:line="240" w:lineRule="auto"/>
                    <w:jc w:val="left"/>
                    <w:rPr>
                      <w:rFonts w:asciiTheme="minorHAnsi" w:hAnsiTheme="minorHAnsi" w:cstheme="minorHAnsi"/>
                      <w:b/>
                      <w:bCs/>
                      <w:color w:val="auto"/>
                      <w:sz w:val="24"/>
                      <w:szCs w:val="24"/>
                      <w:lang w:eastAsia="en-GB"/>
                    </w:rPr>
                  </w:pPr>
                </w:p>
              </w:tc>
              <w:tc>
                <w:tcPr>
                  <w:tcW w:w="0" w:type="auto"/>
                  <w:vAlign w:val="center"/>
                  <w:hideMark/>
                </w:tcPr>
                <w:p w14:paraId="146BA0C4"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b/>
                      <w:bCs/>
                      <w:color w:val="auto"/>
                      <w:sz w:val="24"/>
                      <w:szCs w:val="24"/>
                      <w:lang w:eastAsia="en-GB"/>
                    </w:rPr>
                    <w:t>V</w:t>
                  </w:r>
                </w:p>
              </w:tc>
              <w:tc>
                <w:tcPr>
                  <w:tcW w:w="0" w:type="auto"/>
                  <w:vAlign w:val="center"/>
                  <w:hideMark/>
                </w:tcPr>
                <w:p w14:paraId="0003347B"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16010BC8"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412DBADE"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1266BBB1"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0A3B39CA"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c>
                <w:tcPr>
                  <w:tcW w:w="0" w:type="auto"/>
                  <w:vAlign w:val="center"/>
                  <w:hideMark/>
                </w:tcPr>
                <w:p w14:paraId="1D24AE9C" w14:textId="77777777" w:rsidR="0005139C" w:rsidRPr="0005139C" w:rsidRDefault="0005139C" w:rsidP="0005139C">
                  <w:pPr>
                    <w:tabs>
                      <w:tab w:val="clear" w:pos="567"/>
                    </w:tabs>
                    <w:spacing w:after="0" w:line="240" w:lineRule="auto"/>
                    <w:jc w:val="center"/>
                    <w:rPr>
                      <w:rFonts w:asciiTheme="minorHAnsi" w:hAnsiTheme="minorHAnsi" w:cstheme="minorHAnsi"/>
                      <w:color w:val="auto"/>
                      <w:sz w:val="24"/>
                      <w:szCs w:val="24"/>
                      <w:lang w:eastAsia="en-GB"/>
                    </w:rPr>
                  </w:pPr>
                  <w:r w:rsidRPr="0005139C">
                    <w:rPr>
                      <w:rFonts w:asciiTheme="minorHAnsi" w:hAnsiTheme="minorHAnsi" w:cstheme="minorHAnsi"/>
                      <w:color w:val="auto"/>
                      <w:sz w:val="24"/>
                      <w:szCs w:val="24"/>
                      <w:lang w:eastAsia="en-GB"/>
                    </w:rPr>
                    <w:t>NA</w:t>
                  </w:r>
                </w:p>
              </w:tc>
            </w:tr>
          </w:tbl>
          <w:p w14:paraId="395DED5D" w14:textId="77777777" w:rsidR="00645F89" w:rsidRPr="00CA7672" w:rsidRDefault="00645F89" w:rsidP="00645F89">
            <w:pPr>
              <w:tabs>
                <w:tab w:val="clear" w:pos="567"/>
              </w:tabs>
              <w:spacing w:before="100" w:beforeAutospacing="1" w:after="100" w:afterAutospacing="1" w:line="240" w:lineRule="auto"/>
              <w:rPr>
                <w:rFonts w:asciiTheme="minorHAnsi" w:hAnsiTheme="minorHAnsi" w:cstheme="minorHAnsi"/>
                <w:b/>
                <w:color w:val="000000"/>
                <w:sz w:val="21"/>
                <w:szCs w:val="21"/>
                <w:u w:val="single"/>
                <w:lang w:val="nl-NL"/>
              </w:rPr>
            </w:pPr>
            <w:r w:rsidRPr="00CA7672">
              <w:rPr>
                <w:rFonts w:asciiTheme="minorHAnsi" w:hAnsiTheme="minorHAnsi" w:cstheme="minorHAnsi"/>
                <w:b/>
                <w:color w:val="000000"/>
                <w:sz w:val="21"/>
                <w:szCs w:val="21"/>
                <w:u w:val="single"/>
                <w:lang w:val="nl-NL" w:eastAsia="en-GB"/>
              </w:rPr>
              <w:t>Assessment of threats</w:t>
            </w:r>
            <w:r w:rsidRPr="00CA7672">
              <w:rPr>
                <w:rFonts w:asciiTheme="minorHAnsi" w:hAnsiTheme="minorHAnsi" w:cstheme="minorHAnsi"/>
                <w:color w:val="000000"/>
                <w:sz w:val="21"/>
                <w:szCs w:val="21"/>
                <w:lang w:val="nl-NL" w:eastAsia="en-GB"/>
              </w:rPr>
              <w:t>:</w:t>
            </w:r>
          </w:p>
          <w:p w14:paraId="6367D1FD"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shd w:val="clear" w:color="auto" w:fill="FF0000"/>
              </w:rPr>
              <w:t>Red</w:t>
            </w:r>
            <w:r w:rsidRPr="00CA7672">
              <w:rPr>
                <w:rFonts w:asciiTheme="minorHAnsi" w:hAnsiTheme="minorHAnsi" w:cstheme="minorHAnsi"/>
                <w:color w:val="000000"/>
                <w:sz w:val="21"/>
                <w:szCs w:val="21"/>
              </w:rPr>
              <w:t xml:space="preserve"> – poor </w:t>
            </w:r>
          </w:p>
          <w:p w14:paraId="20EFC282"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shd w:val="clear" w:color="auto" w:fill="B3E5A1"/>
              </w:rPr>
              <w:t>Green</w:t>
            </w:r>
            <w:r w:rsidRPr="00CA7672">
              <w:rPr>
                <w:rFonts w:asciiTheme="minorHAnsi" w:hAnsiTheme="minorHAnsi" w:cstheme="minorHAnsi"/>
                <w:color w:val="000000"/>
                <w:sz w:val="21"/>
                <w:szCs w:val="21"/>
              </w:rPr>
              <w:t xml:space="preserve"> – good</w:t>
            </w:r>
          </w:p>
          <w:p w14:paraId="2905C8C6"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shd w:val="clear" w:color="auto" w:fill="DAEEF3"/>
              </w:rPr>
              <w:t>Blue –</w:t>
            </w:r>
            <w:r w:rsidRPr="00CA7672">
              <w:rPr>
                <w:rFonts w:asciiTheme="minorHAnsi" w:hAnsiTheme="minorHAnsi" w:cstheme="minorHAnsi"/>
                <w:color w:val="000000"/>
                <w:sz w:val="21"/>
                <w:szCs w:val="21"/>
              </w:rPr>
              <w:t xml:space="preserve"> insufficient information available,</w:t>
            </w:r>
          </w:p>
          <w:p w14:paraId="5DF41BB6" w14:textId="77777777" w:rsidR="00645F89" w:rsidRPr="00CA7672" w:rsidRDefault="00645F89" w:rsidP="00645F89">
            <w:pPr>
              <w:tabs>
                <w:tab w:val="clear" w:pos="567"/>
              </w:tabs>
              <w:spacing w:after="0" w:line="240" w:lineRule="auto"/>
              <w:rPr>
                <w:rFonts w:asciiTheme="minorHAnsi" w:hAnsiTheme="minorHAnsi" w:cstheme="minorHAnsi"/>
                <w:i/>
                <w:color w:val="000000"/>
                <w:sz w:val="21"/>
                <w:szCs w:val="21"/>
              </w:rPr>
            </w:pPr>
            <w:r w:rsidRPr="00CA7672">
              <w:rPr>
                <w:rFonts w:asciiTheme="minorHAnsi" w:hAnsiTheme="minorHAnsi" w:cstheme="minorHAnsi"/>
                <w:color w:val="000000"/>
                <w:sz w:val="21"/>
                <w:szCs w:val="21"/>
                <w:shd w:val="clear" w:color="auto" w:fill="D9D9D9"/>
              </w:rPr>
              <w:t>NA</w:t>
            </w:r>
            <w:r w:rsidRPr="00CA7672">
              <w:rPr>
                <w:rFonts w:asciiTheme="minorHAnsi" w:hAnsiTheme="minorHAnsi" w:cstheme="minorHAnsi"/>
                <w:iCs/>
                <w:color w:val="000000"/>
                <w:sz w:val="21"/>
                <w:szCs w:val="21"/>
              </w:rPr>
              <w:t xml:space="preserve"> - Not Applicable</w:t>
            </w:r>
            <w:r w:rsidRPr="00CA7672">
              <w:rPr>
                <w:rFonts w:asciiTheme="minorHAnsi" w:hAnsiTheme="minorHAnsi" w:cstheme="minorHAnsi"/>
                <w:i/>
                <w:color w:val="000000"/>
                <w:sz w:val="21"/>
                <w:szCs w:val="21"/>
              </w:rPr>
              <w:t xml:space="preserve"> </w:t>
            </w:r>
          </w:p>
          <w:p w14:paraId="78D7EF67" w14:textId="77777777" w:rsidR="00645F89" w:rsidRPr="00CA7672" w:rsidRDefault="00645F89" w:rsidP="00645F89">
            <w:pPr>
              <w:tabs>
                <w:tab w:val="clear" w:pos="567"/>
              </w:tabs>
              <w:spacing w:after="0" w:line="240" w:lineRule="auto"/>
              <w:rPr>
                <w:rFonts w:asciiTheme="minorHAnsi" w:hAnsiTheme="minorHAnsi" w:cstheme="minorHAnsi"/>
                <w:i/>
                <w:color w:val="000000"/>
                <w:sz w:val="21"/>
                <w:szCs w:val="21"/>
              </w:rPr>
            </w:pPr>
          </w:p>
          <w:p w14:paraId="0F083DE7"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Applied to assessments of status of the feature / criterion, as defined by threshold values used in the QSR 2023 if available, or by expert judgement.</w:t>
            </w:r>
          </w:p>
          <w:p w14:paraId="4A3B8795"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u w:val="single"/>
              </w:rPr>
            </w:pPr>
          </w:p>
          <w:p w14:paraId="68CD2F9A"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b/>
                <w:color w:val="000000"/>
                <w:sz w:val="21"/>
                <w:szCs w:val="21"/>
                <w:u w:val="single"/>
              </w:rPr>
              <w:t>Changes in threats or impacts</w:t>
            </w:r>
            <w:r w:rsidRPr="00CA7672">
              <w:rPr>
                <w:rFonts w:asciiTheme="minorHAnsi" w:hAnsiTheme="minorHAnsi" w:cstheme="minorHAnsi"/>
                <w:color w:val="000000"/>
                <w:sz w:val="21"/>
                <w:szCs w:val="21"/>
              </w:rPr>
              <w:t xml:space="preserve"> (since the background document)</w:t>
            </w:r>
          </w:p>
          <w:p w14:paraId="22A803EF"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 </w:t>
            </w:r>
            <w:r w:rsidRPr="00CA7672">
              <w:rPr>
                <w:rFonts w:asciiTheme="minorHAnsi" w:hAnsiTheme="minorHAnsi" w:cstheme="minorHAnsi"/>
                <w:color w:val="000000"/>
                <w:sz w:val="21"/>
                <w:szCs w:val="21"/>
              </w:rPr>
              <w:tab/>
              <w:t xml:space="preserve">key pressures and human activities decreasing. </w:t>
            </w:r>
          </w:p>
          <w:p w14:paraId="22ABAB43"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 </w:t>
            </w:r>
            <w:r w:rsidRPr="00CA7672">
              <w:rPr>
                <w:rFonts w:asciiTheme="minorHAnsi" w:hAnsiTheme="minorHAnsi" w:cstheme="minorHAnsi"/>
                <w:color w:val="000000"/>
                <w:sz w:val="21"/>
                <w:szCs w:val="21"/>
              </w:rPr>
              <w:tab/>
              <w:t xml:space="preserve">key pressures and human activity increasing. </w:t>
            </w:r>
          </w:p>
          <w:p w14:paraId="2ED5EF19"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 </w:t>
            </w:r>
            <w:r w:rsidRPr="00CA7672">
              <w:rPr>
                <w:rFonts w:asciiTheme="minorHAnsi" w:hAnsiTheme="minorHAnsi" w:cstheme="minorHAnsi"/>
                <w:color w:val="000000"/>
                <w:sz w:val="21"/>
                <w:szCs w:val="21"/>
              </w:rPr>
              <w:tab/>
              <w:t xml:space="preserve">no change in the threat or impact assessed. </w:t>
            </w:r>
          </w:p>
          <w:p w14:paraId="6042700A"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 </w:t>
            </w:r>
            <w:r w:rsidRPr="00CA7672">
              <w:rPr>
                <w:rFonts w:asciiTheme="minorHAnsi" w:hAnsiTheme="minorHAnsi" w:cstheme="minorHAnsi"/>
                <w:color w:val="000000"/>
                <w:sz w:val="21"/>
                <w:szCs w:val="21"/>
              </w:rPr>
              <w:tab/>
              <w:t>uncertain</w:t>
            </w:r>
          </w:p>
          <w:p w14:paraId="6FD1274A"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u w:val="single"/>
              </w:rPr>
            </w:pPr>
          </w:p>
          <w:p w14:paraId="45DD4528" w14:textId="77777777" w:rsidR="00645F89" w:rsidRPr="00CA7672" w:rsidRDefault="00645F89" w:rsidP="00645F89">
            <w:pPr>
              <w:tabs>
                <w:tab w:val="clear" w:pos="567"/>
              </w:tabs>
              <w:spacing w:after="0" w:line="240" w:lineRule="auto"/>
              <w:rPr>
                <w:rFonts w:asciiTheme="minorHAnsi" w:hAnsiTheme="minorHAnsi" w:cstheme="minorHAnsi"/>
                <w:b/>
                <w:color w:val="000000"/>
                <w:sz w:val="21"/>
                <w:szCs w:val="21"/>
                <w:u w:val="single"/>
              </w:rPr>
            </w:pPr>
            <w:r w:rsidRPr="00CA7672">
              <w:rPr>
                <w:rFonts w:asciiTheme="minorHAnsi" w:hAnsiTheme="minorHAnsi" w:cstheme="minorHAnsi"/>
                <w:b/>
                <w:color w:val="000000"/>
                <w:sz w:val="21"/>
                <w:szCs w:val="21"/>
                <w:u w:val="single"/>
              </w:rPr>
              <w:t>Types of assessment:</w:t>
            </w:r>
          </w:p>
          <w:p w14:paraId="54B2F25C"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1 – direct data driven, </w:t>
            </w:r>
          </w:p>
          <w:p w14:paraId="7008A3A9"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2 – indirect data driven, </w:t>
            </w:r>
          </w:p>
          <w:p w14:paraId="167B8E59"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3 – third party assessment close-geographic match, </w:t>
            </w:r>
          </w:p>
          <w:p w14:paraId="1D109ADD"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4 - third party assessment partial-geographic match  </w:t>
            </w:r>
          </w:p>
          <w:p w14:paraId="2111E269"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5 – expert judgement.</w:t>
            </w:r>
          </w:p>
          <w:p w14:paraId="46278C9E" w14:textId="77777777" w:rsidR="00645F89" w:rsidRPr="00CA7672" w:rsidRDefault="00645F89" w:rsidP="00645F89">
            <w:pPr>
              <w:tabs>
                <w:tab w:val="clear" w:pos="567"/>
              </w:tabs>
              <w:spacing w:after="0" w:line="240" w:lineRule="auto"/>
              <w:rPr>
                <w:rFonts w:asciiTheme="minorHAnsi" w:hAnsiTheme="minorHAnsi" w:cstheme="minorHAnsi"/>
                <w:color w:val="000000"/>
                <w:sz w:val="18"/>
                <w:szCs w:val="18"/>
              </w:rPr>
            </w:pPr>
          </w:p>
        </w:tc>
      </w:tr>
      <w:tr w:rsidR="00645F89" w:rsidRPr="00CA7672" w14:paraId="437F2923" w14:textId="77777777" w:rsidTr="00F51724">
        <w:trPr>
          <w:trHeight w:val="409"/>
        </w:trPr>
        <w:tc>
          <w:tcPr>
            <w:tcW w:w="2563" w:type="dxa"/>
            <w:tcBorders>
              <w:bottom w:val="single" w:sz="4" w:space="0" w:color="auto"/>
            </w:tcBorders>
            <w:tcMar>
              <w:top w:w="144" w:type="dxa"/>
              <w:left w:w="115" w:type="dxa"/>
              <w:bottom w:w="144" w:type="dxa"/>
              <w:right w:w="115" w:type="dxa"/>
            </w:tcMar>
          </w:tcPr>
          <w:p w14:paraId="1F1B8958"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Confidence</w:t>
            </w:r>
          </w:p>
        </w:tc>
        <w:tc>
          <w:tcPr>
            <w:tcW w:w="7610" w:type="dxa"/>
            <w:tcBorders>
              <w:bottom w:val="single" w:sz="4" w:space="0" w:color="auto"/>
            </w:tcBorders>
            <w:tcMar>
              <w:top w:w="144" w:type="dxa"/>
              <w:left w:w="115" w:type="dxa"/>
              <w:bottom w:w="144" w:type="dxa"/>
              <w:right w:w="115" w:type="dxa"/>
            </w:tcMar>
          </w:tcPr>
          <w:p w14:paraId="7E70ABE3"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High</w:t>
            </w:r>
          </w:p>
        </w:tc>
      </w:tr>
      <w:tr w:rsidR="00645F89" w:rsidRPr="00CA7672" w14:paraId="55B51CC4" w14:textId="77777777" w:rsidTr="00F51724">
        <w:tc>
          <w:tcPr>
            <w:tcW w:w="2563" w:type="dxa"/>
            <w:tcMar>
              <w:top w:w="144" w:type="dxa"/>
              <w:left w:w="115" w:type="dxa"/>
              <w:bottom w:w="144" w:type="dxa"/>
              <w:right w:w="115" w:type="dxa"/>
            </w:tcMar>
          </w:tcPr>
          <w:p w14:paraId="0059FF5B" w14:textId="77777777" w:rsidR="00645F89" w:rsidRPr="00CA7672" w:rsidRDefault="00645F89" w:rsidP="00645F89">
            <w:pPr>
              <w:tabs>
                <w:tab w:val="clear" w:pos="567"/>
              </w:tabs>
              <w:spacing w:after="0" w:line="240" w:lineRule="auto"/>
              <w:rPr>
                <w:rFonts w:asciiTheme="minorHAnsi" w:hAnsiTheme="minorHAnsi" w:cstheme="minorHAnsi"/>
                <w:color w:val="000000"/>
                <w:sz w:val="24"/>
              </w:rPr>
            </w:pPr>
            <w:r w:rsidRPr="00CA7672">
              <w:rPr>
                <w:rFonts w:asciiTheme="minorHAnsi" w:hAnsiTheme="minorHAnsi" w:cstheme="minorHAnsi"/>
                <w:color w:val="000000"/>
                <w:sz w:val="21"/>
                <w:szCs w:val="21"/>
              </w:rPr>
              <w:t>Background Information</w:t>
            </w:r>
          </w:p>
        </w:tc>
        <w:tc>
          <w:tcPr>
            <w:tcW w:w="7610" w:type="dxa"/>
            <w:tcMar>
              <w:top w:w="144" w:type="dxa"/>
              <w:left w:w="115" w:type="dxa"/>
              <w:bottom w:w="144" w:type="dxa"/>
              <w:right w:w="115" w:type="dxa"/>
            </w:tcMar>
          </w:tcPr>
          <w:p w14:paraId="17A5FF28" w14:textId="77777777" w:rsidR="00645F89" w:rsidRPr="00CA7672" w:rsidRDefault="00645F89" w:rsidP="00645F89">
            <w:pPr>
              <w:tabs>
                <w:tab w:val="clear" w:pos="567"/>
              </w:tabs>
              <w:spacing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 xml:space="preserve">Year added to OSPAR List: </w:t>
            </w:r>
            <w:r w:rsidRPr="00CA7672">
              <w:rPr>
                <w:rFonts w:asciiTheme="minorHAnsi" w:hAnsiTheme="minorHAnsi" w:cstheme="minorHAnsi"/>
                <w:color w:val="000000"/>
                <w:sz w:val="21"/>
                <w:szCs w:val="21"/>
                <w:lang w:eastAsia="en-GB"/>
              </w:rPr>
              <w:t>2008 (OSPAR Commission 2009)</w:t>
            </w:r>
          </w:p>
          <w:p w14:paraId="1937B29C" w14:textId="77777777" w:rsidR="00645F89" w:rsidRPr="00CA7672" w:rsidRDefault="00645F89" w:rsidP="00645F89">
            <w:pPr>
              <w:tabs>
                <w:tab w:val="clear" w:pos="567"/>
              </w:tabs>
              <w:spacing w:before="120" w:after="100" w:afterAutospacing="1" w:line="240" w:lineRule="auto"/>
              <w:jc w:val="left"/>
              <w:rPr>
                <w:rFonts w:asciiTheme="minorHAnsi" w:hAnsiTheme="minorHAnsi" w:cstheme="minorHAnsi"/>
                <w:b/>
                <w:color w:val="000000"/>
                <w:sz w:val="21"/>
                <w:szCs w:val="21"/>
                <w:lang w:eastAsia="en-GB"/>
              </w:rPr>
            </w:pPr>
            <w:r w:rsidRPr="00CA7672">
              <w:rPr>
                <w:rFonts w:asciiTheme="minorHAnsi" w:hAnsiTheme="minorHAnsi" w:cstheme="minorHAnsi"/>
                <w:b/>
                <w:color w:val="000000"/>
                <w:sz w:val="21"/>
                <w:szCs w:val="21"/>
                <w:lang w:eastAsia="en-GB"/>
              </w:rPr>
              <w:t xml:space="preserve">Original evaluation against Texel-Faial criteria: </w:t>
            </w:r>
            <w:r w:rsidRPr="00CA7672">
              <w:rPr>
                <w:rFonts w:asciiTheme="minorHAnsi" w:hAnsiTheme="minorHAnsi" w:cstheme="minorHAnsi"/>
                <w:color w:val="000000"/>
                <w:sz w:val="21"/>
                <w:szCs w:val="21"/>
                <w:lang w:eastAsia="en-GB"/>
              </w:rPr>
              <w:t xml:space="preserve">The ivory gull was nominated for inclusion on the OSPAR list with </w:t>
            </w:r>
            <w:proofErr w:type="gramStart"/>
            <w:r w:rsidRPr="00CA7672">
              <w:rPr>
                <w:rFonts w:asciiTheme="minorHAnsi" w:hAnsiTheme="minorHAnsi" w:cstheme="minorHAnsi"/>
                <w:color w:val="000000"/>
                <w:sz w:val="21"/>
                <w:szCs w:val="21"/>
                <w:lang w:eastAsia="en-GB"/>
              </w:rPr>
              <w:t>particular reference</w:t>
            </w:r>
            <w:proofErr w:type="gramEnd"/>
            <w:r w:rsidRPr="00CA7672">
              <w:rPr>
                <w:rFonts w:asciiTheme="minorHAnsi" w:hAnsiTheme="minorHAnsi" w:cstheme="minorHAnsi"/>
                <w:color w:val="000000"/>
                <w:sz w:val="21"/>
                <w:szCs w:val="21"/>
                <w:lang w:eastAsia="en-GB"/>
              </w:rPr>
              <w:t xml:space="preserve"> to “regional importance, rarity, decline and sensitivity criteria, with information also provided on threat” (OSPAR Commission 2009).</w:t>
            </w:r>
          </w:p>
          <w:p w14:paraId="08CBD1B5" w14:textId="3D7CDCF6" w:rsidR="00645F89" w:rsidRPr="00CA7672" w:rsidRDefault="00645F89" w:rsidP="00645F89">
            <w:pPr>
              <w:tabs>
                <w:tab w:val="clear" w:pos="567"/>
              </w:tabs>
              <w:spacing w:before="120"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lastRenderedPageBreak/>
              <w:t>Global/regional importance</w:t>
            </w:r>
            <w:r w:rsidRPr="00CA7672">
              <w:rPr>
                <w:rFonts w:asciiTheme="minorHAnsi" w:hAnsiTheme="minorHAnsi" w:cstheme="minorHAnsi"/>
                <w:color w:val="000000"/>
                <w:sz w:val="21"/>
                <w:szCs w:val="21"/>
                <w:lang w:eastAsia="en-GB"/>
              </w:rPr>
              <w:t xml:space="preserve">: At the time of listing, it was estimated that there were 2000-3000 breeding pairs of ivory gulls in </w:t>
            </w:r>
            <w:r w:rsidR="009357E8"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 accounting for &lt; 25% of the world population.</w:t>
            </w:r>
          </w:p>
          <w:p w14:paraId="0E38C7BA" w14:textId="7A35AE38" w:rsidR="00645F89" w:rsidRPr="00CA7672" w:rsidRDefault="00645F89" w:rsidP="00645F89">
            <w:pPr>
              <w:tabs>
                <w:tab w:val="clear" w:pos="567"/>
              </w:tabs>
              <w:spacing w:after="100" w:afterAutospacing="1" w:line="240" w:lineRule="auto"/>
              <w:jc w:val="left"/>
              <w:rPr>
                <w:rFonts w:asciiTheme="minorHAnsi" w:hAnsiTheme="minorHAnsi" w:cstheme="minorHAnsi"/>
                <w:color w:val="000000"/>
                <w:sz w:val="21"/>
                <w:szCs w:val="21"/>
                <w:highlight w:val="yellow"/>
                <w:lang w:eastAsia="en-GB"/>
              </w:rPr>
            </w:pPr>
            <w:r w:rsidRPr="00CA7672">
              <w:rPr>
                <w:rFonts w:asciiTheme="minorHAnsi" w:hAnsiTheme="minorHAnsi" w:cstheme="minorHAnsi"/>
                <w:b/>
                <w:color w:val="000000"/>
                <w:sz w:val="21"/>
                <w:szCs w:val="21"/>
                <w:lang w:eastAsia="en-GB"/>
              </w:rPr>
              <w:t>Population decline</w:t>
            </w:r>
            <w:r w:rsidRPr="00CA7672">
              <w:rPr>
                <w:rFonts w:asciiTheme="minorHAnsi" w:hAnsiTheme="minorHAnsi" w:cstheme="minorHAnsi"/>
                <w:color w:val="000000"/>
                <w:sz w:val="21"/>
                <w:szCs w:val="21"/>
                <w:lang w:eastAsia="en-GB"/>
              </w:rPr>
              <w:t xml:space="preserve">: Before inclusion in the OSPAR list, historical evidence indicated that the global ivory gull population was declining. Population status and trend were poorly documented for </w:t>
            </w:r>
            <w:r w:rsidR="009357E8"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w:t>
            </w:r>
          </w:p>
          <w:p w14:paraId="3352DC2D" w14:textId="77777777" w:rsidR="00645F89" w:rsidRPr="00CA7672" w:rsidRDefault="00645F89" w:rsidP="00645F89">
            <w:pPr>
              <w:tabs>
                <w:tab w:val="clear" w:pos="567"/>
              </w:tabs>
              <w:spacing w:before="120" w:after="100" w:afterAutospacing="1" w:line="240" w:lineRule="auto"/>
              <w:jc w:val="left"/>
              <w:rPr>
                <w:rFonts w:asciiTheme="minorHAnsi" w:hAnsiTheme="minorHAnsi" w:cstheme="minorHAnsi"/>
                <w:b/>
                <w:color w:val="000000"/>
                <w:sz w:val="21"/>
                <w:szCs w:val="21"/>
                <w:lang w:eastAsia="en-GB"/>
              </w:rPr>
            </w:pPr>
            <w:r w:rsidRPr="00CA7672">
              <w:rPr>
                <w:rFonts w:asciiTheme="minorHAnsi" w:hAnsiTheme="minorHAnsi" w:cstheme="minorHAnsi"/>
                <w:b/>
                <w:color w:val="000000"/>
                <w:sz w:val="21"/>
                <w:szCs w:val="21"/>
                <w:lang w:eastAsia="en-GB"/>
              </w:rPr>
              <w:t xml:space="preserve">Sensitivity: </w:t>
            </w:r>
            <w:r w:rsidRPr="00CA7672">
              <w:rPr>
                <w:rFonts w:asciiTheme="minorHAnsi" w:hAnsiTheme="minorHAnsi" w:cstheme="minorHAnsi"/>
                <w:color w:val="000000"/>
                <w:sz w:val="21"/>
                <w:szCs w:val="21"/>
                <w:lang w:eastAsia="en-GB"/>
              </w:rPr>
              <w:t xml:space="preserve">The ivory gull is very sensitive to long-term adverse conditions, because 1) it is a long-lived species, 2) it has a slow reproductive rate with only 1-2 eggs per clutch and 3) it is an opportunistic breeder that will skip breeding if food conditions are poor. Because of this, the size of local breeding populations may </w:t>
            </w:r>
            <w:proofErr w:type="gramStart"/>
            <w:r w:rsidRPr="00CA7672">
              <w:rPr>
                <w:rFonts w:asciiTheme="minorHAnsi" w:hAnsiTheme="minorHAnsi" w:cstheme="minorHAnsi"/>
                <w:color w:val="000000"/>
                <w:sz w:val="21"/>
                <w:szCs w:val="21"/>
                <w:lang w:eastAsia="en-GB"/>
              </w:rPr>
              <w:t>fluctuate between</w:t>
            </w:r>
            <w:proofErr w:type="gramEnd"/>
            <w:r w:rsidRPr="00CA7672">
              <w:rPr>
                <w:rFonts w:asciiTheme="minorHAnsi" w:hAnsiTheme="minorHAnsi" w:cstheme="minorHAnsi"/>
                <w:color w:val="000000"/>
                <w:sz w:val="21"/>
                <w:szCs w:val="21"/>
                <w:lang w:eastAsia="en-GB"/>
              </w:rPr>
              <w:t xml:space="preserve"> years. The total ivory gull population may show less pronounced annual fluctuations, but it will be slow to recover from a decline.   </w:t>
            </w:r>
          </w:p>
          <w:p w14:paraId="0CD56745" w14:textId="77777777" w:rsidR="00645F89" w:rsidRPr="00CA7672" w:rsidRDefault="00645F89" w:rsidP="00645F89">
            <w:pPr>
              <w:tabs>
                <w:tab w:val="clear" w:pos="567"/>
              </w:tabs>
              <w:spacing w:before="120"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Anthropogenic pressures and biological factors</w:t>
            </w:r>
            <w:r w:rsidRPr="00CA7672">
              <w:rPr>
                <w:rFonts w:asciiTheme="minorHAnsi" w:hAnsiTheme="minorHAnsi" w:cstheme="minorHAnsi"/>
                <w:color w:val="000000"/>
                <w:sz w:val="21"/>
                <w:szCs w:val="21"/>
                <w:lang w:eastAsia="en-GB"/>
              </w:rPr>
              <w:t>: 1). The ivory gull is a high-Arctic seabird that is closely associated with sea ice throughout the year. It is extremely vulnerable to climate warming and rapid disappearance of its main habitat. 2). The ivory gull has a high trophic position in the Arctic marine food web and is exposed to high levels of environmental pollutants. 3). The ivory gull may be negatively impacted by intensified human activity associated with an increasingly ice-free Arctic.</w:t>
            </w:r>
          </w:p>
          <w:p w14:paraId="71E76907" w14:textId="786986E9" w:rsidR="00645F89" w:rsidRPr="00CA7672" w:rsidRDefault="00645F89" w:rsidP="00645F89">
            <w:pPr>
              <w:tabs>
                <w:tab w:val="clear" w:pos="567"/>
              </w:tabs>
              <w:spacing w:before="120" w:after="100" w:afterAutospacing="1" w:line="240" w:lineRule="auto"/>
              <w:jc w:val="left"/>
              <w:rPr>
                <w:rFonts w:asciiTheme="minorHAnsi" w:hAnsiTheme="minorHAnsi" w:cstheme="minorHAnsi"/>
                <w:b/>
                <w:color w:val="000000"/>
                <w:sz w:val="21"/>
                <w:szCs w:val="21"/>
                <w:lang w:eastAsia="en-GB"/>
              </w:rPr>
            </w:pPr>
            <w:r w:rsidRPr="00CA7672">
              <w:rPr>
                <w:rFonts w:asciiTheme="minorHAnsi" w:hAnsiTheme="minorHAnsi" w:cstheme="minorHAnsi"/>
                <w:b/>
                <w:color w:val="000000"/>
                <w:sz w:val="21"/>
                <w:szCs w:val="21"/>
                <w:lang w:eastAsia="en-GB"/>
              </w:rPr>
              <w:t>Last status assessment</w:t>
            </w:r>
            <w:r w:rsidRPr="00CA7672">
              <w:rPr>
                <w:rFonts w:asciiTheme="minorHAnsi" w:hAnsiTheme="minorHAnsi" w:cstheme="minorHAnsi"/>
                <w:color w:val="000000"/>
                <w:sz w:val="21"/>
                <w:szCs w:val="21"/>
                <w:lang w:eastAsia="en-GB"/>
              </w:rPr>
              <w:t xml:space="preserve">: The last status assessment recommended that the ivory gull should be added to the OSPAR list because of its “small population size within </w:t>
            </w:r>
            <w:r w:rsidR="009357E8"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 limited number of breeding locations, population decline, and the likelihood of suffering further declines due to climate change, environmental pollution, and lack of conservation measures” (OSPAR Commission 2009).</w:t>
            </w:r>
          </w:p>
        </w:tc>
      </w:tr>
      <w:tr w:rsidR="00645F89" w:rsidRPr="00CA7672" w14:paraId="3CEF04C8" w14:textId="77777777" w:rsidTr="00F51724">
        <w:tc>
          <w:tcPr>
            <w:tcW w:w="2563" w:type="dxa"/>
            <w:tcMar>
              <w:top w:w="144" w:type="dxa"/>
              <w:left w:w="115" w:type="dxa"/>
              <w:bottom w:w="144" w:type="dxa"/>
              <w:right w:w="115" w:type="dxa"/>
            </w:tcMar>
          </w:tcPr>
          <w:p w14:paraId="201D6259"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Geographical range and distribution</w:t>
            </w:r>
          </w:p>
        </w:tc>
        <w:tc>
          <w:tcPr>
            <w:tcW w:w="7610" w:type="dxa"/>
            <w:tcMar>
              <w:top w:w="144" w:type="dxa"/>
              <w:left w:w="115" w:type="dxa"/>
              <w:bottom w:w="144" w:type="dxa"/>
              <w:right w:w="115" w:type="dxa"/>
            </w:tcMar>
          </w:tcPr>
          <w:p w14:paraId="2252AD53" w14:textId="308DD4F9" w:rsidR="00645F89" w:rsidRPr="00CA7672" w:rsidRDefault="00645F89" w:rsidP="00645F89">
            <w:pPr>
              <w:tabs>
                <w:tab w:val="clear" w:pos="567"/>
              </w:tabs>
              <w:spacing w:after="0" w:line="240" w:lineRule="auto"/>
              <w:jc w:val="left"/>
              <w:outlineLvl w:val="2"/>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Within </w:t>
            </w:r>
            <w:r w:rsidR="009357E8"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 xml:space="preserve">, ivory gull breeding colonies can be found at high latitudes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2019</w:t>
            </w:r>
            <w:r w:rsidR="00AE7EE4" w:rsidRPr="00CA7672">
              <w:rPr>
                <w:rFonts w:asciiTheme="minorHAnsi" w:hAnsiTheme="minorHAnsi" w:cstheme="minorHAnsi"/>
                <w:color w:val="000000"/>
                <w:sz w:val="21"/>
                <w:szCs w:val="21"/>
                <w:lang w:eastAsia="en-GB"/>
              </w:rPr>
              <w:t xml:space="preserve">; </w:t>
            </w:r>
            <w:r w:rsidR="00AE7EE4" w:rsidRPr="00CA7672">
              <w:rPr>
                <w:rFonts w:asciiTheme="minorHAnsi" w:hAnsiTheme="minorHAnsi" w:cstheme="minorHAnsi"/>
                <w:b/>
                <w:color w:val="000000"/>
                <w:sz w:val="21"/>
                <w:szCs w:val="21"/>
                <w:lang w:eastAsia="en-GB"/>
              </w:rPr>
              <w:t>Figure 1</w:t>
            </w:r>
            <w:r w:rsidRPr="00CA7672">
              <w:rPr>
                <w:rFonts w:asciiTheme="minorHAnsi" w:hAnsiTheme="minorHAnsi" w:cstheme="minorHAnsi"/>
                <w:color w:val="000000"/>
                <w:sz w:val="21"/>
                <w:szCs w:val="21"/>
                <w:lang w:eastAsia="en-GB"/>
              </w:rPr>
              <w:t xml:space="preserve">) in east and </w:t>
            </w:r>
            <w:r w:rsidR="009357E8" w:rsidRPr="00CA7672">
              <w:rPr>
                <w:rFonts w:asciiTheme="minorHAnsi" w:hAnsiTheme="minorHAnsi" w:cstheme="minorHAnsi"/>
                <w:color w:val="000000"/>
                <w:sz w:val="21"/>
                <w:szCs w:val="21"/>
                <w:lang w:eastAsia="en-GB"/>
              </w:rPr>
              <w:t>N</w:t>
            </w:r>
            <w:r w:rsidRPr="00CA7672">
              <w:rPr>
                <w:rFonts w:asciiTheme="minorHAnsi" w:hAnsiTheme="minorHAnsi" w:cstheme="minorHAnsi"/>
                <w:color w:val="000000"/>
                <w:sz w:val="21"/>
                <w:szCs w:val="21"/>
                <w:lang w:eastAsia="en-GB"/>
              </w:rPr>
              <w:t>orth</w:t>
            </w:r>
            <w:r w:rsidR="009357E8" w:rsidRPr="00CA7672">
              <w:rPr>
                <w:rFonts w:asciiTheme="minorHAnsi" w:hAnsiTheme="minorHAnsi" w:cstheme="minorHAnsi"/>
                <w:color w:val="000000"/>
                <w:sz w:val="21"/>
                <w:szCs w:val="21"/>
                <w:lang w:eastAsia="en-GB"/>
              </w:rPr>
              <w:t>-E</w:t>
            </w:r>
            <w:r w:rsidRPr="00CA7672">
              <w:rPr>
                <w:rFonts w:asciiTheme="minorHAnsi" w:hAnsiTheme="minorHAnsi" w:cstheme="minorHAnsi"/>
                <w:color w:val="000000"/>
                <w:sz w:val="21"/>
                <w:szCs w:val="21"/>
                <w:lang w:eastAsia="en-GB"/>
              </w:rPr>
              <w:t xml:space="preserve">ast Greenland, Svalbard (Norway) and the western islands of Franz Josef Land (Russia). Although there are no significant wintering areas in the Barents Sea or along coast of East Greenland (except for a small area off the coast of Southeast Greenland,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there is an important staging area north of Svalbard and Franz Josef Land (80-85°N). This area extends from the Fram Strait to the Laptev Sea (off Severnaya Zemlya) and is used in September and October before the start of autumn migration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Birds from </w:t>
            </w:r>
            <w:r w:rsidR="009357E8"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 xml:space="preserve"> mostly winter in the Davis Strait and Labrador Sea, where they forage close to the sea ice edge. This area is also used by birds from Canada and Russia and is therefore of great international importance for the species (Spencer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 It should be noted however, that while most ivory gulls breeding in </w:t>
            </w:r>
            <w:r w:rsidR="009357E8" w:rsidRPr="00CA7672">
              <w:rPr>
                <w:rFonts w:asciiTheme="minorHAnsi" w:hAnsiTheme="minorHAnsi" w:cstheme="minorHAnsi"/>
                <w:color w:val="000000"/>
                <w:sz w:val="21"/>
                <w:szCs w:val="21"/>
                <w:lang w:eastAsia="en-GB"/>
              </w:rPr>
              <w:t xml:space="preserve">Region </w:t>
            </w:r>
            <w:proofErr w:type="spellStart"/>
            <w:r w:rsidR="009357E8" w:rsidRPr="00CA7672">
              <w:rPr>
                <w:rFonts w:asciiTheme="minorHAnsi" w:hAnsiTheme="minorHAnsi" w:cstheme="minorHAnsi"/>
                <w:color w:val="000000"/>
                <w:sz w:val="21"/>
                <w:szCs w:val="21"/>
                <w:lang w:eastAsia="en-GB"/>
              </w:rPr>
              <w:t>I</w:t>
            </w:r>
            <w:r w:rsidRPr="00CA7672">
              <w:rPr>
                <w:rFonts w:asciiTheme="minorHAnsi" w:hAnsiTheme="minorHAnsi" w:cstheme="minorHAnsi"/>
                <w:color w:val="000000"/>
                <w:sz w:val="21"/>
                <w:szCs w:val="21"/>
                <w:lang w:eastAsia="en-GB"/>
              </w:rPr>
              <w:t>migrate</w:t>
            </w:r>
            <w:proofErr w:type="spellEnd"/>
            <w:r w:rsidRPr="00CA7672">
              <w:rPr>
                <w:rFonts w:asciiTheme="minorHAnsi" w:hAnsiTheme="minorHAnsi" w:cstheme="minorHAnsi"/>
                <w:color w:val="000000"/>
                <w:sz w:val="21"/>
                <w:szCs w:val="21"/>
                <w:lang w:eastAsia="en-GB"/>
              </w:rPr>
              <w:t xml:space="preserve"> westwards and winter in the Davis Strait and Labrador Sea, some individuals migrate in opposite direction and winter in the Bering Sea (Gilg </w:t>
            </w:r>
            <w:r w:rsidRPr="00CA7672">
              <w:rPr>
                <w:rFonts w:asciiTheme="minorHAnsi" w:hAnsiTheme="minorHAnsi" w:cstheme="minorHAnsi"/>
                <w:i/>
                <w:iCs/>
                <w:color w:val="000000"/>
                <w:sz w:val="21"/>
                <w:szCs w:val="21"/>
                <w:lang w:eastAsia="en-GB"/>
              </w:rPr>
              <w:t>et</w:t>
            </w:r>
            <w:r w:rsidRPr="00CA7672">
              <w:rPr>
                <w:rFonts w:asciiTheme="minorHAnsi" w:hAnsiTheme="minorHAnsi" w:cstheme="minorHAnsi"/>
                <w:color w:val="000000"/>
                <w:sz w:val="21"/>
                <w:szCs w:val="21"/>
                <w:lang w:eastAsia="en-GB"/>
              </w:rPr>
              <w:t xml:space="preserve"> </w:t>
            </w:r>
            <w:r w:rsidRPr="00CA7672">
              <w:rPr>
                <w:rFonts w:asciiTheme="minorHAnsi" w:hAnsiTheme="minorHAnsi" w:cstheme="minorHAnsi"/>
                <w:i/>
                <w:iCs/>
                <w:color w:val="000000"/>
                <w:sz w:val="21"/>
                <w:szCs w:val="21"/>
                <w:lang w:eastAsia="en-GB"/>
              </w:rPr>
              <w:t>al.</w:t>
            </w:r>
            <w:r w:rsidRPr="00CA7672">
              <w:rPr>
                <w:rFonts w:asciiTheme="minorHAnsi" w:hAnsiTheme="minorHAnsi" w:cstheme="minorHAnsi"/>
                <w:color w:val="000000"/>
                <w:sz w:val="21"/>
                <w:szCs w:val="21"/>
                <w:lang w:eastAsia="en-GB"/>
              </w:rPr>
              <w:t xml:space="preserve"> 2010). Ivory gulls belong to a single Arctic-wide population. Their breeding distribution, wintering areas, staging areas, timing of migration, and migration routes all depend critically on sea-ice dynamics, making the species extremely vulnerable to climate change (Spencer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2014.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w:t>
            </w:r>
          </w:p>
          <w:p w14:paraId="58D01D72" w14:textId="23766F51" w:rsidR="00645F89" w:rsidRPr="00CA7672" w:rsidRDefault="00645F89" w:rsidP="00645F89">
            <w:pPr>
              <w:tabs>
                <w:tab w:val="clear" w:pos="567"/>
              </w:tabs>
              <w:spacing w:before="300" w:after="150" w:line="240" w:lineRule="auto"/>
              <w:outlineLvl w:val="2"/>
              <w:rPr>
                <w:rFonts w:asciiTheme="minorHAnsi" w:hAnsiTheme="minorHAnsi" w:cstheme="minorHAnsi"/>
                <w:color w:val="000000"/>
                <w:sz w:val="21"/>
                <w:szCs w:val="21"/>
                <w:lang w:eastAsia="en-GB"/>
              </w:rPr>
            </w:pPr>
          </w:p>
          <w:p w14:paraId="76FFE96B" w14:textId="41A76450" w:rsidR="00645F89" w:rsidRPr="00CA7672" w:rsidRDefault="0005139C" w:rsidP="0005139C">
            <w:pPr>
              <w:tabs>
                <w:tab w:val="clear" w:pos="567"/>
              </w:tabs>
              <w:spacing w:before="300" w:after="150" w:line="240" w:lineRule="auto"/>
              <w:outlineLvl w:val="2"/>
              <w:rPr>
                <w:rFonts w:asciiTheme="minorHAnsi" w:hAnsiTheme="minorHAnsi" w:cstheme="minorHAnsi"/>
                <w:color w:val="000000"/>
                <w:sz w:val="21"/>
                <w:szCs w:val="21"/>
                <w:lang w:eastAsia="en-GB"/>
              </w:rPr>
            </w:pPr>
            <w:r w:rsidRPr="00CA7672">
              <w:rPr>
                <w:rFonts w:asciiTheme="minorHAnsi" w:hAnsiTheme="minorHAnsi" w:cstheme="minorHAnsi"/>
                <w:noProof/>
                <w:color w:val="000000"/>
                <w:sz w:val="21"/>
                <w:szCs w:val="21"/>
                <w:lang w:eastAsia="en-GB"/>
                <w14:ligatures w14:val="standardContextual"/>
              </w:rPr>
              <w:lastRenderedPageBreak/>
              <w:drawing>
                <wp:anchor distT="0" distB="0" distL="114300" distR="114300" simplePos="0" relativeHeight="251659264" behindDoc="0" locked="0" layoutInCell="1" allowOverlap="1" wp14:anchorId="26E66896" wp14:editId="3727DF02">
                  <wp:simplePos x="0" y="0"/>
                  <wp:positionH relativeFrom="column">
                    <wp:posOffset>52705</wp:posOffset>
                  </wp:positionH>
                  <wp:positionV relativeFrom="paragraph">
                    <wp:posOffset>73025</wp:posOffset>
                  </wp:positionV>
                  <wp:extent cx="4531627" cy="4208706"/>
                  <wp:effectExtent l="19050" t="19050" r="21590" b="20955"/>
                  <wp:wrapTopAndBottom/>
                  <wp:docPr id="1420171913" name="Picture 1" descr="A map of the arc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171913" name="Picture 1420171913" descr="A map of the arctic&#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1627" cy="4208706"/>
                          </a:xfrm>
                          <a:prstGeom prst="rect">
                            <a:avLst/>
                          </a:prstGeom>
                          <a:noFill/>
                          <a:ln>
                            <a:solidFill>
                              <a:sysClr val="windowText" lastClr="000000"/>
                            </a:solidFill>
                          </a:ln>
                        </pic:spPr>
                      </pic:pic>
                    </a:graphicData>
                  </a:graphic>
                  <wp14:sizeRelH relativeFrom="margin">
                    <wp14:pctWidth>0</wp14:pctWidth>
                  </wp14:sizeRelH>
                  <wp14:sizeRelV relativeFrom="margin">
                    <wp14:pctHeight>0</wp14:pctHeight>
                  </wp14:sizeRelV>
                </wp:anchor>
              </w:drawing>
            </w:r>
            <w:r w:rsidR="00645F89" w:rsidRPr="00CA7672">
              <w:rPr>
                <w:rFonts w:asciiTheme="minorHAnsi" w:hAnsiTheme="minorHAnsi" w:cstheme="minorHAnsi"/>
                <w:color w:val="000000"/>
                <w:sz w:val="21"/>
                <w:szCs w:val="21"/>
                <w:lang w:eastAsia="en-GB"/>
              </w:rPr>
              <w:t>Figure 1</w:t>
            </w:r>
            <w:r>
              <w:rPr>
                <w:rFonts w:asciiTheme="minorHAnsi" w:hAnsiTheme="minorHAnsi" w:cstheme="minorHAnsi"/>
                <w:color w:val="000000"/>
                <w:sz w:val="21"/>
                <w:szCs w:val="21"/>
                <w:lang w:eastAsia="en-GB"/>
              </w:rPr>
              <w:t>:</w:t>
            </w:r>
            <w:r w:rsidR="00645F89" w:rsidRPr="00CA7672">
              <w:rPr>
                <w:rFonts w:asciiTheme="minorHAnsi" w:hAnsiTheme="minorHAnsi" w:cstheme="minorHAnsi"/>
                <w:color w:val="000000"/>
                <w:sz w:val="21"/>
                <w:szCs w:val="21"/>
                <w:lang w:eastAsia="en-GB"/>
              </w:rPr>
              <w:t xml:space="preserve"> Location and size of occupied ivory gull colonies in Greenland and Svalbard based on an aerial survey carried out in 2019. Data from Greenland Seabird Colony Database, maintained by the Danish Centre for Environment and Energy, Aarhus University, and Greenland Institute of Natural Resources, Norwegian seabird monitoring program SEAPOP (www. seapop.no), MOSJ (Environmental Monitoring of Svalbard and Jan Mayen (www.mosj.no) and the Norwegian Polar Institute seabird databases.</w:t>
            </w:r>
          </w:p>
          <w:p w14:paraId="52AAA049" w14:textId="77777777" w:rsidR="00645F89" w:rsidRPr="00CA7672" w:rsidRDefault="00645F89" w:rsidP="00645F89">
            <w:pPr>
              <w:tabs>
                <w:tab w:val="clear" w:pos="567"/>
              </w:tabs>
              <w:spacing w:before="120" w:line="240" w:lineRule="auto"/>
              <w:jc w:val="left"/>
              <w:outlineLvl w:val="2"/>
              <w:rPr>
                <w:rFonts w:asciiTheme="minorHAnsi" w:hAnsiTheme="minorHAnsi" w:cstheme="minorHAnsi"/>
                <w:color w:val="000000"/>
                <w:sz w:val="21"/>
                <w:szCs w:val="21"/>
                <w:lang w:eastAsia="en-GB"/>
              </w:rPr>
            </w:pPr>
          </w:p>
          <w:p w14:paraId="76D3F871" w14:textId="77777777" w:rsidR="00645F89" w:rsidRPr="00CA7672" w:rsidRDefault="00645F89" w:rsidP="00645F89">
            <w:pPr>
              <w:tabs>
                <w:tab w:val="clear" w:pos="567"/>
              </w:tabs>
              <w:spacing w:after="150" w:line="240" w:lineRule="auto"/>
              <w:jc w:val="left"/>
              <w:rPr>
                <w:rFonts w:asciiTheme="minorHAnsi" w:hAnsiTheme="minorHAnsi" w:cstheme="minorHAnsi"/>
                <w:i/>
                <w:iCs/>
                <w:color w:val="000000"/>
                <w:sz w:val="24"/>
              </w:rPr>
            </w:pPr>
            <w:r w:rsidRPr="00CA7672">
              <w:rPr>
                <w:rFonts w:asciiTheme="minorHAnsi" w:hAnsiTheme="minorHAnsi" w:cstheme="minorHAnsi"/>
                <w:i/>
                <w:iCs/>
                <w:color w:val="000000"/>
                <w:sz w:val="21"/>
                <w:szCs w:val="21"/>
                <w:lang w:eastAsia="en-GB"/>
              </w:rPr>
              <w:t>Method of assessment: 1a (Svalbard and Greenland), 2c,d (Russian Arctic)</w:t>
            </w:r>
          </w:p>
        </w:tc>
      </w:tr>
      <w:tr w:rsidR="00645F89" w:rsidRPr="00CA7672" w14:paraId="453DEBC3" w14:textId="77777777" w:rsidTr="00F51724">
        <w:tc>
          <w:tcPr>
            <w:tcW w:w="2563" w:type="dxa"/>
            <w:tcMar>
              <w:top w:w="144" w:type="dxa"/>
              <w:left w:w="115" w:type="dxa"/>
              <w:bottom w:w="144" w:type="dxa"/>
              <w:right w:w="115" w:type="dxa"/>
            </w:tcMar>
          </w:tcPr>
          <w:p w14:paraId="38973EB4"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lang w:val="fr-FR"/>
              </w:rPr>
              <w:lastRenderedPageBreak/>
              <w:t xml:space="preserve">Population / </w:t>
            </w:r>
            <w:proofErr w:type="spellStart"/>
            <w:r w:rsidRPr="00CA7672">
              <w:rPr>
                <w:rFonts w:asciiTheme="minorHAnsi" w:hAnsiTheme="minorHAnsi" w:cstheme="minorHAnsi"/>
                <w:color w:val="000000"/>
                <w:sz w:val="21"/>
                <w:szCs w:val="21"/>
                <w:lang w:val="fr-FR"/>
              </w:rPr>
              <w:t>abundance</w:t>
            </w:r>
            <w:proofErr w:type="spellEnd"/>
          </w:p>
        </w:tc>
        <w:tc>
          <w:tcPr>
            <w:tcW w:w="7610" w:type="dxa"/>
            <w:tcMar>
              <w:top w:w="144" w:type="dxa"/>
              <w:left w:w="115" w:type="dxa"/>
              <w:bottom w:w="144" w:type="dxa"/>
              <w:right w:w="115" w:type="dxa"/>
            </w:tcMar>
          </w:tcPr>
          <w:p w14:paraId="1D4D5543" w14:textId="2D6CA0B6"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Breeding pairs of ivory gulls </w:t>
            </w:r>
            <w:proofErr w:type="gramStart"/>
            <w:r w:rsidRPr="00CA7672">
              <w:rPr>
                <w:rFonts w:asciiTheme="minorHAnsi" w:hAnsiTheme="minorHAnsi" w:cstheme="minorHAnsi"/>
                <w:color w:val="000000"/>
                <w:sz w:val="21"/>
                <w:szCs w:val="21"/>
                <w:lang w:eastAsia="en-GB"/>
              </w:rPr>
              <w:t>are</w:t>
            </w:r>
            <w:proofErr w:type="gramEnd"/>
            <w:r w:rsidRPr="00CA7672">
              <w:rPr>
                <w:rFonts w:asciiTheme="minorHAnsi" w:hAnsiTheme="minorHAnsi" w:cstheme="minorHAnsi"/>
                <w:color w:val="000000"/>
                <w:sz w:val="21"/>
                <w:szCs w:val="21"/>
                <w:lang w:eastAsia="en-GB"/>
              </w:rPr>
              <w:t xml:space="preserve"> difficult to count, because colonies are situated in remote high-Arctic locations that are often inaccessible and hard to find. Moreover, colonies are not used each year, such that old colonies are abandoned, and new colonies are formed. Due to a lack of historical data and fragmented surveys, population numbers of ivory gulls were poorly documented. However, since the inclusion of the ivory gull in the OSPAR List of Threatened and/or Declining Species and Habitats </w:t>
            </w:r>
            <w:r w:rsidR="009357E8" w:rsidRPr="00CA7672">
              <w:rPr>
                <w:rFonts w:asciiTheme="minorHAnsi" w:hAnsiTheme="minorHAnsi" w:cstheme="minorHAnsi"/>
                <w:color w:val="000000"/>
                <w:sz w:val="21"/>
                <w:szCs w:val="21"/>
                <w:lang w:eastAsia="en-GB"/>
              </w:rPr>
              <w:t>(</w:t>
            </w:r>
            <w:hyperlink r:id="rId9" w:history="1">
              <w:r w:rsidR="009357E8" w:rsidRPr="00CC4B15">
                <w:rPr>
                  <w:rStyle w:val="Hyperlink"/>
                  <w:rFonts w:asciiTheme="minorHAnsi" w:hAnsiTheme="minorHAnsi" w:cstheme="minorHAnsi"/>
                  <w:bCs w:val="0"/>
                  <w:sz w:val="21"/>
                  <w:szCs w:val="21"/>
                  <w:lang w:val="en-GB" w:eastAsia="en-GB"/>
                </w:rPr>
                <w:t>Agreement 2008-06</w:t>
              </w:r>
            </w:hyperlink>
            <w:r w:rsidR="009357E8" w:rsidRPr="00CA7672">
              <w:rPr>
                <w:rFonts w:asciiTheme="minorHAnsi" w:hAnsiTheme="minorHAnsi" w:cstheme="minorHAnsi"/>
                <w:color w:val="000000"/>
                <w:sz w:val="21"/>
                <w:szCs w:val="21"/>
                <w:lang w:val="en-GB" w:eastAsia="en-GB"/>
              </w:rPr>
              <w:t xml:space="preserve">) </w:t>
            </w:r>
            <w:r w:rsidRPr="00CA7672">
              <w:rPr>
                <w:rFonts w:asciiTheme="minorHAnsi" w:hAnsiTheme="minorHAnsi" w:cstheme="minorHAnsi"/>
                <w:color w:val="000000"/>
                <w:sz w:val="21"/>
                <w:szCs w:val="21"/>
                <w:lang w:eastAsia="en-GB"/>
              </w:rPr>
              <w:t xml:space="preserve">and the development of the CAFF International ivory gull conservation strategy and action plan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collaborative research and monitoring effort has increased globally. </w:t>
            </w:r>
          </w:p>
          <w:p w14:paraId="3ACCA4F6" w14:textId="77777777" w:rsidR="00645F89" w:rsidRPr="00CA7672" w:rsidRDefault="00645F89" w:rsidP="00645F89">
            <w:pPr>
              <w:tabs>
                <w:tab w:val="clear" w:pos="567"/>
              </w:tabs>
              <w:spacing w:after="0" w:line="259" w:lineRule="auto"/>
              <w:jc w:val="left"/>
              <w:rPr>
                <w:rFonts w:asciiTheme="minorHAnsi" w:hAnsiTheme="minorHAnsi" w:cstheme="minorHAnsi"/>
                <w:color w:val="000000"/>
                <w:sz w:val="21"/>
                <w:szCs w:val="21"/>
                <w:lang w:eastAsia="en-GB"/>
              </w:rPr>
            </w:pPr>
          </w:p>
          <w:p w14:paraId="57E13EFE" w14:textId="3B5E444D" w:rsidR="00645F89" w:rsidRPr="00CA7672" w:rsidRDefault="00645F89" w:rsidP="00645F89">
            <w:pPr>
              <w:tabs>
                <w:tab w:val="clear" w:pos="567"/>
              </w:tabs>
              <w:spacing w:after="0" w:line="259"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 xml:space="preserve">In 2019 a large, international aerial survey was conducted, along the coast and in nunatak areas in </w:t>
            </w:r>
            <w:r w:rsidR="00695424" w:rsidRPr="00CA7672">
              <w:rPr>
                <w:rFonts w:asciiTheme="minorHAnsi" w:hAnsiTheme="minorHAnsi" w:cstheme="minorHAnsi"/>
                <w:color w:val="000000"/>
                <w:sz w:val="21"/>
                <w:szCs w:val="21"/>
                <w:lang w:eastAsia="en-GB"/>
              </w:rPr>
              <w:t xml:space="preserve">Region </w:t>
            </w:r>
            <w:r w:rsidRPr="00CA7672">
              <w:rPr>
                <w:rFonts w:asciiTheme="minorHAnsi" w:hAnsiTheme="minorHAnsi" w:cstheme="minorHAnsi"/>
                <w:color w:val="000000"/>
                <w:sz w:val="21"/>
                <w:szCs w:val="21"/>
                <w:lang w:eastAsia="en-GB"/>
              </w:rPr>
              <w:t xml:space="preserve">I. During this survey 2028 ivory gulls were identified in 25 occupied colonies in Greenland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2020), whereas in Svalbard 1119 birds were counted in 55 colonies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Considering the existence of some undiscovered colonies, the overall population size was estimated as 2000 - 2500 pairs in Greenland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and 1500 – 2000 in Svalbard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The number of ivory gulls breeding on the western islands of Franz Josef Land, that are also included in </w:t>
            </w:r>
            <w:r w:rsidR="0010028B" w:rsidRPr="00CA7672">
              <w:rPr>
                <w:rFonts w:asciiTheme="minorHAnsi" w:hAnsiTheme="minorHAnsi" w:cstheme="minorHAnsi"/>
                <w:color w:val="000000"/>
                <w:sz w:val="21"/>
                <w:szCs w:val="21"/>
                <w:lang w:eastAsia="en-GB"/>
              </w:rPr>
              <w:t>R</w:t>
            </w:r>
            <w:r w:rsidRPr="00CA7672">
              <w:rPr>
                <w:rFonts w:asciiTheme="minorHAnsi" w:hAnsiTheme="minorHAnsi" w:cstheme="minorHAnsi"/>
                <w:color w:val="000000"/>
                <w:sz w:val="21"/>
                <w:szCs w:val="21"/>
                <w:lang w:eastAsia="en-GB"/>
              </w:rPr>
              <w:t xml:space="preserve">egion I, is currently unknown. The best estimate for the whole of the OSPAR population is therefore 3500 – 4500 pairs. This estimate is higher than that given at the time of OSPAR listing. This is most likely due to increased research effort rather than </w:t>
            </w:r>
            <w:proofErr w:type="gramStart"/>
            <w:r w:rsidRPr="00CA7672">
              <w:rPr>
                <w:rFonts w:asciiTheme="minorHAnsi" w:hAnsiTheme="minorHAnsi" w:cstheme="minorHAnsi"/>
                <w:color w:val="000000"/>
                <w:sz w:val="21"/>
                <w:szCs w:val="21"/>
                <w:lang w:eastAsia="en-GB"/>
              </w:rPr>
              <w:t>an</w:t>
            </w:r>
            <w:proofErr w:type="gramEnd"/>
            <w:r w:rsidRPr="00CA7672">
              <w:rPr>
                <w:rFonts w:asciiTheme="minorHAnsi" w:hAnsiTheme="minorHAnsi" w:cstheme="minorHAnsi"/>
                <w:color w:val="000000"/>
                <w:sz w:val="21"/>
                <w:szCs w:val="21"/>
                <w:lang w:eastAsia="en-GB"/>
              </w:rPr>
              <w:t xml:space="preserve"> actual population increase. In fact, revisiting known breeding sites in 2009 and 2019 showed that the OSPAR population of ivory gulls continues to decline. It should be noted, however, that there are regional differences. In Greenland, population numbers seem to be stable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w:t>
            </w:r>
            <w:r w:rsidRPr="00CA7672">
              <w:rPr>
                <w:rFonts w:asciiTheme="minorHAnsi" w:hAnsiTheme="minorHAnsi" w:cstheme="minorHAnsi"/>
                <w:b/>
                <w:color w:val="000000"/>
                <w:sz w:val="21"/>
                <w:szCs w:val="21"/>
                <w:lang w:eastAsia="en-GB"/>
              </w:rPr>
              <w:t>Table 1</w:t>
            </w:r>
            <w:r w:rsidRPr="00CA7672">
              <w:rPr>
                <w:rFonts w:asciiTheme="minorHAnsi" w:hAnsiTheme="minorHAnsi" w:cstheme="minorHAnsi"/>
                <w:color w:val="000000"/>
                <w:sz w:val="21"/>
                <w:szCs w:val="21"/>
                <w:lang w:eastAsia="en-GB"/>
              </w:rPr>
              <w:t xml:space="preserve">), whereas in Svalbard the population has declined by as much as 40% in recent years (Strøm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w:t>
            </w:r>
            <w:r w:rsidRPr="00CA7672">
              <w:rPr>
                <w:rFonts w:asciiTheme="minorHAnsi" w:hAnsiTheme="minorHAnsi" w:cstheme="minorHAnsi"/>
                <w:b/>
                <w:color w:val="000000"/>
                <w:sz w:val="21"/>
                <w:szCs w:val="21"/>
                <w:lang w:eastAsia="en-GB"/>
              </w:rPr>
              <w:t>F</w:t>
            </w:r>
            <w:r w:rsidR="00395F20" w:rsidRPr="00CA7672">
              <w:rPr>
                <w:rFonts w:asciiTheme="minorHAnsi" w:hAnsiTheme="minorHAnsi" w:cstheme="minorHAnsi"/>
                <w:b/>
                <w:color w:val="000000"/>
                <w:sz w:val="21"/>
                <w:szCs w:val="21"/>
                <w:lang w:eastAsia="en-GB"/>
              </w:rPr>
              <w:t>igure</w:t>
            </w:r>
            <w:r w:rsidRPr="00CA7672">
              <w:rPr>
                <w:rFonts w:asciiTheme="minorHAnsi" w:hAnsiTheme="minorHAnsi" w:cstheme="minorHAnsi"/>
                <w:b/>
                <w:color w:val="000000"/>
                <w:sz w:val="21"/>
                <w:szCs w:val="21"/>
                <w:lang w:eastAsia="en-GB"/>
              </w:rPr>
              <w:t xml:space="preserve"> 2</w:t>
            </w:r>
            <w:r w:rsidRPr="00CA7672">
              <w:rPr>
                <w:rFonts w:asciiTheme="minorHAnsi" w:hAnsiTheme="minorHAnsi" w:cstheme="minorHAnsi"/>
                <w:color w:val="000000"/>
                <w:sz w:val="21"/>
                <w:szCs w:val="21"/>
                <w:lang w:eastAsia="en-GB"/>
              </w:rPr>
              <w:t xml:space="preserve">). </w:t>
            </w:r>
          </w:p>
          <w:p w14:paraId="773A7701" w14:textId="77777777" w:rsidR="00645F89" w:rsidRPr="00CA7672" w:rsidRDefault="00645F89" w:rsidP="00645F89">
            <w:pPr>
              <w:tabs>
                <w:tab w:val="clear" w:pos="567"/>
              </w:tabs>
              <w:spacing w:after="0" w:line="259" w:lineRule="auto"/>
              <w:jc w:val="left"/>
              <w:rPr>
                <w:rFonts w:asciiTheme="minorHAnsi" w:hAnsiTheme="minorHAnsi" w:cstheme="minorHAnsi"/>
                <w:color w:val="000000"/>
                <w:sz w:val="21"/>
                <w:szCs w:val="21"/>
                <w:lang w:eastAsia="en-GB"/>
              </w:rPr>
            </w:pPr>
          </w:p>
          <w:p w14:paraId="18F44E50" w14:textId="5E497659" w:rsidR="00645F89" w:rsidRPr="00CA7672" w:rsidRDefault="00645F89" w:rsidP="00645F89">
            <w:pPr>
              <w:tabs>
                <w:tab w:val="clear" w:pos="567"/>
              </w:tabs>
              <w:spacing w:after="150" w:line="240" w:lineRule="auto"/>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Table 1</w:t>
            </w:r>
            <w:r w:rsidR="0005139C">
              <w:rPr>
                <w:rFonts w:asciiTheme="minorHAnsi" w:hAnsiTheme="minorHAnsi" w:cstheme="minorHAnsi"/>
                <w:color w:val="000000"/>
                <w:sz w:val="21"/>
                <w:szCs w:val="21"/>
                <w:lang w:eastAsia="en-GB"/>
              </w:rPr>
              <w:t>:</w:t>
            </w:r>
            <w:r w:rsidRPr="00CA7672">
              <w:rPr>
                <w:rFonts w:asciiTheme="minorHAnsi" w:hAnsiTheme="minorHAnsi" w:cstheme="minorHAnsi"/>
                <w:color w:val="000000"/>
                <w:sz w:val="21"/>
                <w:szCs w:val="21"/>
                <w:lang w:eastAsia="en-GB"/>
              </w:rPr>
              <w:t xml:space="preserve"> Results of the population survey in Greenland, comparison of 23 breeding sites visited in 2009 and 2019 (Data from Boertmann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2020).</w:t>
            </w:r>
          </w:p>
          <w:tbl>
            <w:tblPr>
              <w:tblStyle w:val="TableGrid2"/>
              <w:tblW w:w="0" w:type="auto"/>
              <w:tblLook w:val="04A0" w:firstRow="1" w:lastRow="0" w:firstColumn="1" w:lastColumn="0" w:noHBand="0" w:noVBand="1"/>
            </w:tblPr>
            <w:tblGrid>
              <w:gridCol w:w="5197"/>
              <w:gridCol w:w="1024"/>
              <w:gridCol w:w="1149"/>
            </w:tblGrid>
            <w:tr w:rsidR="00645F89" w:rsidRPr="00CA7672" w14:paraId="44DF7764" w14:textId="77777777" w:rsidTr="00F51724">
              <w:tc>
                <w:tcPr>
                  <w:tcW w:w="6835" w:type="dxa"/>
                  <w:tcMar>
                    <w:top w:w="72" w:type="dxa"/>
                    <w:left w:w="115" w:type="dxa"/>
                    <w:bottom w:w="72" w:type="dxa"/>
                    <w:right w:w="115" w:type="dxa"/>
                  </w:tcMar>
                </w:tcPr>
                <w:p w14:paraId="6F6D0ABB"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p>
              </w:tc>
              <w:tc>
                <w:tcPr>
                  <w:tcW w:w="1170" w:type="dxa"/>
                  <w:tcMar>
                    <w:top w:w="72" w:type="dxa"/>
                    <w:left w:w="115" w:type="dxa"/>
                    <w:bottom w:w="72" w:type="dxa"/>
                    <w:right w:w="115" w:type="dxa"/>
                  </w:tcMar>
                </w:tcPr>
                <w:p w14:paraId="4541A690"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2009</w:t>
                  </w:r>
                </w:p>
              </w:tc>
              <w:tc>
                <w:tcPr>
                  <w:tcW w:w="1345" w:type="dxa"/>
                  <w:tcMar>
                    <w:top w:w="72" w:type="dxa"/>
                    <w:left w:w="115" w:type="dxa"/>
                    <w:bottom w:w="72" w:type="dxa"/>
                    <w:right w:w="115" w:type="dxa"/>
                  </w:tcMar>
                </w:tcPr>
                <w:p w14:paraId="029FBB42"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2019</w:t>
                  </w:r>
                </w:p>
              </w:tc>
            </w:tr>
            <w:tr w:rsidR="00645F89" w:rsidRPr="00CA7672" w14:paraId="3C91A2D1" w14:textId="77777777" w:rsidTr="00F51724">
              <w:tc>
                <w:tcPr>
                  <w:tcW w:w="6835" w:type="dxa"/>
                  <w:tcMar>
                    <w:top w:w="72" w:type="dxa"/>
                    <w:left w:w="115" w:type="dxa"/>
                    <w:bottom w:w="72" w:type="dxa"/>
                    <w:right w:w="115" w:type="dxa"/>
                  </w:tcMar>
                </w:tcPr>
                <w:p w14:paraId="4BF41BCF"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Total number of birds observed (all 23 sites)</w:t>
                  </w:r>
                </w:p>
              </w:tc>
              <w:tc>
                <w:tcPr>
                  <w:tcW w:w="1170" w:type="dxa"/>
                  <w:tcMar>
                    <w:top w:w="72" w:type="dxa"/>
                    <w:left w:w="115" w:type="dxa"/>
                    <w:bottom w:w="72" w:type="dxa"/>
                    <w:right w:w="115" w:type="dxa"/>
                  </w:tcMar>
                </w:tcPr>
                <w:p w14:paraId="6EDBB4EE"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812</w:t>
                  </w:r>
                </w:p>
              </w:tc>
              <w:tc>
                <w:tcPr>
                  <w:tcW w:w="1345" w:type="dxa"/>
                  <w:tcMar>
                    <w:top w:w="72" w:type="dxa"/>
                    <w:left w:w="115" w:type="dxa"/>
                    <w:bottom w:w="72" w:type="dxa"/>
                    <w:right w:w="115" w:type="dxa"/>
                  </w:tcMar>
                </w:tcPr>
                <w:p w14:paraId="7DB8FB67"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817</w:t>
                  </w:r>
                </w:p>
              </w:tc>
            </w:tr>
            <w:tr w:rsidR="00645F89" w:rsidRPr="00CA7672" w14:paraId="2BE43473" w14:textId="77777777" w:rsidTr="00F51724">
              <w:tc>
                <w:tcPr>
                  <w:tcW w:w="6835" w:type="dxa"/>
                  <w:tcMar>
                    <w:top w:w="72" w:type="dxa"/>
                    <w:left w:w="115" w:type="dxa"/>
                    <w:bottom w:w="72" w:type="dxa"/>
                    <w:right w:w="115" w:type="dxa"/>
                  </w:tcMar>
                </w:tcPr>
                <w:p w14:paraId="3A200444"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Average number of birds per site (all 23 sites)</w:t>
                  </w:r>
                </w:p>
              </w:tc>
              <w:tc>
                <w:tcPr>
                  <w:tcW w:w="1170" w:type="dxa"/>
                  <w:tcMar>
                    <w:top w:w="72" w:type="dxa"/>
                    <w:left w:w="115" w:type="dxa"/>
                    <w:bottom w:w="72" w:type="dxa"/>
                    <w:right w:w="115" w:type="dxa"/>
                  </w:tcMar>
                </w:tcPr>
                <w:p w14:paraId="79508475"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35.4</w:t>
                  </w:r>
                </w:p>
              </w:tc>
              <w:tc>
                <w:tcPr>
                  <w:tcW w:w="1345" w:type="dxa"/>
                  <w:tcMar>
                    <w:top w:w="72" w:type="dxa"/>
                    <w:left w:w="115" w:type="dxa"/>
                    <w:bottom w:w="72" w:type="dxa"/>
                    <w:right w:w="115" w:type="dxa"/>
                  </w:tcMar>
                </w:tcPr>
                <w:p w14:paraId="20F681F4"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35.5</w:t>
                  </w:r>
                </w:p>
              </w:tc>
            </w:tr>
            <w:tr w:rsidR="00645F89" w:rsidRPr="00CA7672" w14:paraId="6FC25742" w14:textId="77777777" w:rsidTr="00F51724">
              <w:tc>
                <w:tcPr>
                  <w:tcW w:w="6835" w:type="dxa"/>
                  <w:tcMar>
                    <w:top w:w="72" w:type="dxa"/>
                    <w:left w:w="115" w:type="dxa"/>
                    <w:bottom w:w="72" w:type="dxa"/>
                    <w:right w:w="115" w:type="dxa"/>
                  </w:tcMar>
                </w:tcPr>
                <w:p w14:paraId="6CBCEC34"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Average no. birds per site (occupied sites only)</w:t>
                  </w:r>
                </w:p>
              </w:tc>
              <w:tc>
                <w:tcPr>
                  <w:tcW w:w="1170" w:type="dxa"/>
                  <w:tcMar>
                    <w:top w:w="72" w:type="dxa"/>
                    <w:left w:w="115" w:type="dxa"/>
                    <w:bottom w:w="72" w:type="dxa"/>
                    <w:right w:w="115" w:type="dxa"/>
                  </w:tcMar>
                </w:tcPr>
                <w:p w14:paraId="26BE6B39"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58.1</w:t>
                  </w:r>
                </w:p>
              </w:tc>
              <w:tc>
                <w:tcPr>
                  <w:tcW w:w="1345" w:type="dxa"/>
                  <w:tcMar>
                    <w:top w:w="72" w:type="dxa"/>
                    <w:left w:w="115" w:type="dxa"/>
                    <w:bottom w:w="72" w:type="dxa"/>
                    <w:right w:w="115" w:type="dxa"/>
                  </w:tcMar>
                </w:tcPr>
                <w:p w14:paraId="72242592" w14:textId="77777777" w:rsidR="00645F89" w:rsidRPr="00CA7672" w:rsidRDefault="00645F89" w:rsidP="00645F89">
                  <w:pPr>
                    <w:tabs>
                      <w:tab w:val="clear" w:pos="567"/>
                    </w:tabs>
                    <w:spacing w:after="0" w:line="240" w:lineRule="auto"/>
                    <w:rPr>
                      <w:rFonts w:asciiTheme="minorHAnsi" w:hAnsiTheme="minorHAnsi" w:cstheme="minorHAnsi"/>
                      <w:bCs/>
                      <w:color w:val="000000"/>
                      <w:sz w:val="21"/>
                      <w:szCs w:val="21"/>
                      <w:lang w:val="en-US" w:eastAsia="en-GB"/>
                    </w:rPr>
                  </w:pPr>
                  <w:r w:rsidRPr="00CA7672">
                    <w:rPr>
                      <w:rFonts w:asciiTheme="minorHAnsi" w:hAnsiTheme="minorHAnsi" w:cstheme="minorHAnsi"/>
                      <w:bCs/>
                      <w:color w:val="000000"/>
                      <w:sz w:val="21"/>
                      <w:szCs w:val="21"/>
                      <w:lang w:val="en-US" w:eastAsia="en-GB"/>
                    </w:rPr>
                    <w:t>62.8</w:t>
                  </w:r>
                </w:p>
              </w:tc>
            </w:tr>
          </w:tbl>
          <w:p w14:paraId="0D9A7DAF" w14:textId="77777777" w:rsidR="00645F89" w:rsidRPr="00CA7672" w:rsidRDefault="00645F89" w:rsidP="00645F89">
            <w:pPr>
              <w:tabs>
                <w:tab w:val="clear" w:pos="567"/>
              </w:tabs>
              <w:spacing w:after="0" w:line="259" w:lineRule="auto"/>
              <w:jc w:val="left"/>
              <w:rPr>
                <w:rFonts w:asciiTheme="minorHAnsi" w:hAnsiTheme="minorHAnsi" w:cstheme="minorHAnsi"/>
                <w:color w:val="000000"/>
                <w:sz w:val="21"/>
                <w:szCs w:val="21"/>
                <w:lang w:eastAsia="en-GB"/>
              </w:rPr>
            </w:pPr>
          </w:p>
          <w:p w14:paraId="7AD45C0A" w14:textId="77777777" w:rsidR="00645F89" w:rsidRPr="00CA7672" w:rsidRDefault="00645F89" w:rsidP="00645F89">
            <w:pPr>
              <w:tabs>
                <w:tab w:val="clear" w:pos="567"/>
              </w:tabs>
              <w:spacing w:after="150" w:line="240" w:lineRule="auto"/>
              <w:rPr>
                <w:rFonts w:asciiTheme="minorHAnsi" w:hAnsiTheme="minorHAnsi" w:cstheme="minorHAnsi"/>
                <w:color w:val="000000"/>
                <w:sz w:val="21"/>
                <w:szCs w:val="21"/>
                <w:lang w:eastAsia="en-GB"/>
              </w:rPr>
            </w:pPr>
          </w:p>
          <w:p w14:paraId="3FDBF80C" w14:textId="77777777" w:rsidR="00645F89" w:rsidRPr="00CA7672" w:rsidRDefault="00645F89" w:rsidP="00645F89">
            <w:pPr>
              <w:tabs>
                <w:tab w:val="clear" w:pos="567"/>
              </w:tabs>
              <w:spacing w:after="150" w:line="240" w:lineRule="auto"/>
              <w:rPr>
                <w:rFonts w:asciiTheme="minorHAnsi" w:hAnsiTheme="minorHAnsi" w:cstheme="minorHAnsi"/>
                <w:color w:val="000000"/>
                <w:sz w:val="21"/>
                <w:szCs w:val="21"/>
                <w:lang w:eastAsia="en-GB"/>
              </w:rPr>
            </w:pPr>
            <w:r w:rsidRPr="00CA7672">
              <w:rPr>
                <w:rFonts w:asciiTheme="minorHAnsi" w:hAnsiTheme="minorHAnsi" w:cstheme="minorHAnsi"/>
                <w:noProof/>
                <w:color w:val="000000"/>
                <w:sz w:val="21"/>
                <w:szCs w:val="21"/>
                <w:lang w:eastAsia="en-GB"/>
              </w:rPr>
              <w:drawing>
                <wp:inline distT="0" distB="0" distL="0" distR="0" wp14:anchorId="6DD57713" wp14:editId="61637921">
                  <wp:extent cx="4678299" cy="1730831"/>
                  <wp:effectExtent l="0" t="0" r="8255" b="3175"/>
                  <wp:docPr id="1730575870" name="Picture 1" descr="A graph with a line and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575870" name="Picture 1" descr="A graph with a line and a line&#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5827" cy="1737316"/>
                          </a:xfrm>
                          <a:prstGeom prst="rect">
                            <a:avLst/>
                          </a:prstGeom>
                        </pic:spPr>
                      </pic:pic>
                    </a:graphicData>
                  </a:graphic>
                </wp:inline>
              </w:drawing>
            </w:r>
          </w:p>
          <w:p w14:paraId="74C7CD7B" w14:textId="2714C20B" w:rsidR="00645F89" w:rsidRPr="00CA7672" w:rsidRDefault="00645F89" w:rsidP="00645F89">
            <w:pPr>
              <w:tabs>
                <w:tab w:val="clear" w:pos="567"/>
              </w:tabs>
              <w:spacing w:after="150" w:line="240" w:lineRule="auto"/>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Figure 2</w:t>
            </w:r>
            <w:r w:rsidR="0005139C">
              <w:rPr>
                <w:rFonts w:asciiTheme="minorHAnsi" w:hAnsiTheme="minorHAnsi" w:cstheme="minorHAnsi"/>
                <w:color w:val="000000"/>
                <w:sz w:val="21"/>
                <w:szCs w:val="21"/>
                <w:lang w:eastAsia="en-GB"/>
              </w:rPr>
              <w:t>:</w:t>
            </w:r>
            <w:r w:rsidRPr="00CA7672">
              <w:rPr>
                <w:rFonts w:asciiTheme="minorHAnsi" w:hAnsiTheme="minorHAnsi" w:cstheme="minorHAnsi"/>
                <w:color w:val="000000"/>
                <w:sz w:val="21"/>
                <w:szCs w:val="21"/>
                <w:lang w:eastAsia="en-GB"/>
              </w:rPr>
              <w:t xml:space="preserve"> Number of breeding pairs counted in 31 selected ivory gull colonies in Svalbard between 2009 and 2022. Data: Norwegian Polar Institute (2023).</w:t>
            </w:r>
          </w:p>
          <w:p w14:paraId="3022E1D1" w14:textId="77777777" w:rsidR="00645F89" w:rsidRPr="00CA7672" w:rsidRDefault="00645F89" w:rsidP="00645F89">
            <w:pPr>
              <w:tabs>
                <w:tab w:val="clear" w:pos="567"/>
              </w:tabs>
              <w:spacing w:after="150" w:line="240" w:lineRule="auto"/>
              <w:jc w:val="left"/>
              <w:rPr>
                <w:rFonts w:asciiTheme="minorHAnsi" w:hAnsiTheme="minorHAnsi" w:cstheme="minorHAnsi"/>
                <w:i/>
                <w:iCs/>
                <w:color w:val="000000"/>
                <w:sz w:val="24"/>
              </w:rPr>
            </w:pPr>
            <w:r w:rsidRPr="00CA7672">
              <w:rPr>
                <w:rFonts w:asciiTheme="minorHAnsi" w:hAnsiTheme="minorHAnsi" w:cstheme="minorHAnsi"/>
                <w:i/>
                <w:iCs/>
                <w:color w:val="000000"/>
                <w:sz w:val="21"/>
                <w:szCs w:val="21"/>
                <w:lang w:eastAsia="en-GB"/>
              </w:rPr>
              <w:t>Method of assessment: 1a (Svalbard and Greenland), 2c,d (Russian Arctic)</w:t>
            </w:r>
          </w:p>
        </w:tc>
      </w:tr>
      <w:tr w:rsidR="00645F89" w:rsidRPr="00CA7672" w14:paraId="2615409C" w14:textId="77777777" w:rsidTr="00F51724">
        <w:tc>
          <w:tcPr>
            <w:tcW w:w="2563" w:type="dxa"/>
            <w:tcMar>
              <w:top w:w="144" w:type="dxa"/>
              <w:left w:w="115" w:type="dxa"/>
              <w:bottom w:w="144" w:type="dxa"/>
              <w:right w:w="115" w:type="dxa"/>
            </w:tcMar>
          </w:tcPr>
          <w:p w14:paraId="738A73B3"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 xml:space="preserve">Condition </w:t>
            </w:r>
          </w:p>
        </w:tc>
        <w:tc>
          <w:tcPr>
            <w:tcW w:w="7610" w:type="dxa"/>
            <w:tcMar>
              <w:top w:w="144" w:type="dxa"/>
              <w:left w:w="115" w:type="dxa"/>
              <w:bottom w:w="144" w:type="dxa"/>
              <w:right w:w="115" w:type="dxa"/>
            </w:tcMar>
          </w:tcPr>
          <w:p w14:paraId="21858E65"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Not assessed due to a lack of information on population structure, breeding performance etc. </w:t>
            </w:r>
          </w:p>
          <w:p w14:paraId="1BB46F9E"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lang w:eastAsia="en-GB"/>
              </w:rPr>
            </w:pPr>
          </w:p>
          <w:p w14:paraId="742AB957" w14:textId="77777777" w:rsidR="00645F89" w:rsidRPr="00CA7672" w:rsidRDefault="00645F89" w:rsidP="00645F89">
            <w:pPr>
              <w:tabs>
                <w:tab w:val="clear" w:pos="567"/>
              </w:tabs>
              <w:spacing w:after="150" w:line="240" w:lineRule="auto"/>
              <w:rPr>
                <w:rFonts w:asciiTheme="minorHAnsi" w:hAnsiTheme="minorHAnsi" w:cstheme="minorHAnsi"/>
                <w:i/>
                <w:iCs/>
                <w:color w:val="000000"/>
                <w:sz w:val="21"/>
                <w:szCs w:val="21"/>
                <w:lang w:eastAsia="en-GB"/>
              </w:rPr>
            </w:pPr>
            <w:r w:rsidRPr="00CA7672">
              <w:rPr>
                <w:rFonts w:asciiTheme="minorHAnsi" w:hAnsiTheme="minorHAnsi" w:cstheme="minorHAnsi"/>
                <w:i/>
                <w:iCs/>
                <w:color w:val="000000"/>
                <w:sz w:val="21"/>
                <w:szCs w:val="21"/>
                <w:lang w:eastAsia="en-GB"/>
              </w:rPr>
              <w:lastRenderedPageBreak/>
              <w:t>Method of assessment: 2d.</w:t>
            </w:r>
          </w:p>
        </w:tc>
      </w:tr>
      <w:tr w:rsidR="00645F89" w:rsidRPr="00CA7672" w14:paraId="42304CE4" w14:textId="77777777" w:rsidTr="00F51724">
        <w:tc>
          <w:tcPr>
            <w:tcW w:w="2563" w:type="dxa"/>
          </w:tcPr>
          <w:p w14:paraId="185C59D8"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Threats and impacts</w:t>
            </w:r>
          </w:p>
        </w:tc>
        <w:tc>
          <w:tcPr>
            <w:tcW w:w="7610" w:type="dxa"/>
            <w:tcMar>
              <w:top w:w="144" w:type="dxa"/>
              <w:left w:w="115" w:type="dxa"/>
              <w:bottom w:w="144" w:type="dxa"/>
              <w:right w:w="115" w:type="dxa"/>
            </w:tcMar>
          </w:tcPr>
          <w:p w14:paraId="29EF7DA6" w14:textId="6E3B51B9"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The main threats </w:t>
            </w:r>
            <w:r w:rsidR="009357E8" w:rsidRPr="00CA7672">
              <w:rPr>
                <w:rFonts w:asciiTheme="minorHAnsi" w:hAnsiTheme="minorHAnsi" w:cstheme="minorHAnsi"/>
                <w:color w:val="000000"/>
                <w:sz w:val="21"/>
                <w:szCs w:val="21"/>
                <w:lang w:eastAsia="en-GB"/>
              </w:rPr>
              <w:t>to</w:t>
            </w:r>
            <w:r w:rsidRPr="00CA7672">
              <w:rPr>
                <w:rFonts w:asciiTheme="minorHAnsi" w:hAnsiTheme="minorHAnsi" w:cstheme="minorHAnsi"/>
                <w:color w:val="000000"/>
                <w:sz w:val="21"/>
                <w:szCs w:val="21"/>
                <w:lang w:eastAsia="en-GB"/>
              </w:rPr>
              <w:t xml:space="preserve"> ivory gulls in </w:t>
            </w:r>
            <w:r w:rsidR="009357E8"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 xml:space="preserve"> are climate warming and loss of sea-ice habitat, as well as high exposure to environmental pollutants. </w:t>
            </w:r>
          </w:p>
          <w:p w14:paraId="63B41C66"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0FB25FC1" w14:textId="1FE9EEB2"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A northward shift of the marginal ice zone increases the distance between breeding colonies and traditional foraging areas. This can increase feeding costs (Dumas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and reduce breeding success and/or adult survival. This negative effect may be buffered by birds using glacier fronts as alternative feeding areas (Lydersen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2014), but this would only be temporal as glaciers are also melting. Ivory gulls are also critically threatened by the disappearance </w:t>
            </w:r>
            <w:r w:rsidR="009357E8" w:rsidRPr="00CA7672">
              <w:rPr>
                <w:rFonts w:asciiTheme="minorHAnsi" w:hAnsiTheme="minorHAnsi" w:cstheme="minorHAnsi"/>
                <w:color w:val="000000"/>
                <w:sz w:val="21"/>
                <w:szCs w:val="21"/>
                <w:lang w:eastAsia="en-GB"/>
              </w:rPr>
              <w:t xml:space="preserve">of </w:t>
            </w:r>
            <w:r w:rsidRPr="00CA7672">
              <w:rPr>
                <w:rFonts w:asciiTheme="minorHAnsi" w:hAnsiTheme="minorHAnsi" w:cstheme="minorHAnsi"/>
                <w:color w:val="000000"/>
                <w:sz w:val="21"/>
                <w:szCs w:val="21"/>
                <w:lang w:eastAsia="en-GB"/>
              </w:rPr>
              <w:t>suitable winter habitat that combines appropriate sea ice conditions and sufficient day light for foraging. Given the strong links between ivory gulls and the sea ice-edge and/or areas with highly concentrated sea-ice, the species’ conservation status is unlikely to improve in the current context of climate warming.</w:t>
            </w:r>
          </w:p>
          <w:p w14:paraId="49103BC4"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 </w:t>
            </w:r>
          </w:p>
          <w:p w14:paraId="0ED1A114" w14:textId="2B00D312"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Ivory gulls remain exposed to extremely high concentrations of environmental pollutants, such as mercury (Hg), organochlorides (OC), brominated flame retardants (BFR), and per- and polyfluoroalkyl substances (PFAS) that bioaccumulate in the Arctic marine food web (Miljeteig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Bond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2015, Lucia 2016, 2017). High levels of pollution have negative health effects, as has been shown for several Arctic top-predators, including the ivory gull (Miljeteig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2012). These negative health effects are likely to </w:t>
            </w:r>
            <w:r w:rsidR="003343CA" w:rsidRPr="00CA7672">
              <w:rPr>
                <w:rFonts w:asciiTheme="minorHAnsi" w:hAnsiTheme="minorHAnsi" w:cstheme="minorHAnsi"/>
                <w:color w:val="000000"/>
                <w:sz w:val="21"/>
                <w:szCs w:val="21"/>
                <w:lang w:eastAsia="en-GB"/>
              </w:rPr>
              <w:t>impact</w:t>
            </w:r>
            <w:r w:rsidRPr="00CA7672">
              <w:rPr>
                <w:rFonts w:asciiTheme="minorHAnsi" w:hAnsiTheme="minorHAnsi" w:cstheme="minorHAnsi"/>
                <w:color w:val="000000"/>
                <w:sz w:val="21"/>
                <w:szCs w:val="21"/>
                <w:lang w:eastAsia="en-GB"/>
              </w:rPr>
              <w:t xml:space="preserve"> physiological control mechanisms and reduce the capacity for </w:t>
            </w:r>
            <w:proofErr w:type="spellStart"/>
            <w:r w:rsidRPr="00CA7672">
              <w:rPr>
                <w:rFonts w:asciiTheme="minorHAnsi" w:hAnsiTheme="minorHAnsi" w:cstheme="minorHAnsi"/>
                <w:color w:val="000000"/>
                <w:sz w:val="21"/>
                <w:szCs w:val="21"/>
                <w:lang w:eastAsia="en-GB"/>
              </w:rPr>
              <w:t>behavioural</w:t>
            </w:r>
            <w:proofErr w:type="spellEnd"/>
            <w:r w:rsidRPr="00CA7672">
              <w:rPr>
                <w:rFonts w:asciiTheme="minorHAnsi" w:hAnsiTheme="minorHAnsi" w:cstheme="minorHAnsi"/>
                <w:color w:val="000000"/>
                <w:sz w:val="21"/>
                <w:szCs w:val="21"/>
                <w:lang w:eastAsia="en-GB"/>
              </w:rPr>
              <w:t xml:space="preserve"> plasticity. This makes it more difficult for the ivory gull to cope with additional stressors associated with habitat loss and climate warming. </w:t>
            </w:r>
          </w:p>
          <w:p w14:paraId="1B1D2BB3"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492224AE"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Human activity (e.g. mineral and oil exploration, industrial shipping, tourism) is currently not causing much disturbance in very remote areas and is unlikely to affect ivory gull population numbers. However, this may change </w:t>
            </w:r>
            <w:proofErr w:type="gramStart"/>
            <w:r w:rsidRPr="00CA7672">
              <w:rPr>
                <w:rFonts w:asciiTheme="minorHAnsi" w:hAnsiTheme="minorHAnsi" w:cstheme="minorHAnsi"/>
                <w:color w:val="000000"/>
                <w:sz w:val="21"/>
                <w:szCs w:val="21"/>
                <w:lang w:eastAsia="en-GB"/>
              </w:rPr>
              <w:t>in the near future</w:t>
            </w:r>
            <w:proofErr w:type="gramEnd"/>
            <w:r w:rsidRPr="00CA7672">
              <w:rPr>
                <w:rFonts w:asciiTheme="minorHAnsi" w:hAnsiTheme="minorHAnsi" w:cstheme="minorHAnsi"/>
                <w:color w:val="000000"/>
                <w:sz w:val="21"/>
                <w:szCs w:val="21"/>
                <w:lang w:eastAsia="en-GB"/>
              </w:rPr>
              <w:t xml:space="preserve"> as the Arctic becomes increasingly ice-free and more accessible for humans.   </w:t>
            </w:r>
          </w:p>
          <w:p w14:paraId="3DE5F8F5"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3A8CAF5D" w14:textId="77777777" w:rsidR="00645F89" w:rsidRPr="00CA7672" w:rsidRDefault="00645F89" w:rsidP="00645F89">
            <w:pPr>
              <w:tabs>
                <w:tab w:val="clear" w:pos="567"/>
              </w:tabs>
              <w:spacing w:after="150" w:line="240" w:lineRule="auto"/>
              <w:jc w:val="left"/>
              <w:rPr>
                <w:rFonts w:asciiTheme="minorHAnsi" w:hAnsiTheme="minorHAnsi" w:cstheme="minorHAnsi"/>
                <w:i/>
                <w:iCs/>
                <w:color w:val="000000"/>
                <w:sz w:val="21"/>
                <w:szCs w:val="21"/>
                <w:lang w:eastAsia="en-GB"/>
              </w:rPr>
            </w:pPr>
            <w:r w:rsidRPr="00CA7672">
              <w:rPr>
                <w:rFonts w:asciiTheme="minorHAnsi" w:hAnsiTheme="minorHAnsi" w:cstheme="minorHAnsi"/>
                <w:i/>
                <w:iCs/>
                <w:color w:val="000000"/>
                <w:sz w:val="21"/>
                <w:szCs w:val="21"/>
                <w:lang w:eastAsia="en-GB"/>
              </w:rPr>
              <w:t>Method of assessment: 2b,c</w:t>
            </w:r>
          </w:p>
        </w:tc>
      </w:tr>
      <w:tr w:rsidR="00645F89" w:rsidRPr="00CA7672" w14:paraId="74078381" w14:textId="77777777" w:rsidTr="00F51724">
        <w:tc>
          <w:tcPr>
            <w:tcW w:w="2563" w:type="dxa"/>
            <w:tcMar>
              <w:top w:w="144" w:type="dxa"/>
              <w:left w:w="115" w:type="dxa"/>
              <w:bottom w:w="144" w:type="dxa"/>
              <w:right w:w="115" w:type="dxa"/>
            </w:tcMar>
          </w:tcPr>
          <w:p w14:paraId="520292F4"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Conservation measures </w:t>
            </w:r>
          </w:p>
          <w:p w14:paraId="47CC8976" w14:textId="77777777" w:rsidR="00645F89" w:rsidRPr="00CA7672" w:rsidRDefault="00645F89" w:rsidP="00645F89">
            <w:pPr>
              <w:tabs>
                <w:tab w:val="clear" w:pos="567"/>
              </w:tabs>
              <w:spacing w:line="240" w:lineRule="auto"/>
              <w:jc w:val="left"/>
              <w:rPr>
                <w:rFonts w:asciiTheme="minorHAnsi" w:hAnsiTheme="minorHAnsi" w:cstheme="minorHAnsi"/>
                <w:color w:val="000000"/>
                <w:sz w:val="24"/>
              </w:rPr>
            </w:pPr>
          </w:p>
          <w:p w14:paraId="0CC24026" w14:textId="77777777" w:rsidR="00645F89" w:rsidRPr="00CA7672" w:rsidRDefault="00645F89" w:rsidP="00645F89">
            <w:pPr>
              <w:tabs>
                <w:tab w:val="clear" w:pos="567"/>
              </w:tabs>
              <w:spacing w:line="240" w:lineRule="auto"/>
              <w:jc w:val="left"/>
              <w:rPr>
                <w:rFonts w:asciiTheme="minorHAnsi" w:hAnsiTheme="minorHAnsi" w:cstheme="minorHAnsi"/>
                <w:color w:val="000000"/>
                <w:sz w:val="24"/>
              </w:rPr>
            </w:pPr>
          </w:p>
          <w:p w14:paraId="1323A1D6" w14:textId="77777777" w:rsidR="00645F89" w:rsidRPr="00CA7672" w:rsidRDefault="00645F89" w:rsidP="00645F89">
            <w:pPr>
              <w:tabs>
                <w:tab w:val="clear" w:pos="567"/>
              </w:tabs>
              <w:spacing w:line="240" w:lineRule="auto"/>
              <w:jc w:val="left"/>
              <w:rPr>
                <w:rFonts w:asciiTheme="minorHAnsi" w:hAnsiTheme="minorHAnsi" w:cstheme="minorHAnsi"/>
                <w:color w:val="000000"/>
                <w:sz w:val="24"/>
              </w:rPr>
            </w:pPr>
          </w:p>
        </w:tc>
        <w:tc>
          <w:tcPr>
            <w:tcW w:w="7610" w:type="dxa"/>
            <w:tcMar>
              <w:top w:w="144" w:type="dxa"/>
              <w:left w:w="115" w:type="dxa"/>
              <w:bottom w:w="144" w:type="dxa"/>
              <w:right w:w="115" w:type="dxa"/>
            </w:tcMar>
          </w:tcPr>
          <w:p w14:paraId="590452C7"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Collaborative research has taken place by the contracting parties to estimate ivory gull population size in the OSPAR region, locate the most important breeding colonies and study how often these are used. Long-term annual monitoring of production and adult survival is established in Svalbard. Moreover, satellite tracking has revealed migration routes, autumn staging areas and an internationally important wintering area (located outside the OSPAR region), while genetic studies have elucidated that ivory gulls belong to one Arctic-wide population effectively connected through dispersal.  </w:t>
            </w:r>
          </w:p>
          <w:p w14:paraId="15E87370"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11A14CAF" w14:textId="3BF96E95" w:rsidR="00645F89" w:rsidRPr="00CA7672" w:rsidRDefault="00645F89" w:rsidP="00645F89">
            <w:pPr>
              <w:tabs>
                <w:tab w:val="clear" w:pos="567"/>
              </w:tabs>
              <w:spacing w:after="150" w:line="240" w:lineRule="auto"/>
              <w:jc w:val="left"/>
              <w:rPr>
                <w:rFonts w:asciiTheme="minorHAnsi" w:hAnsiTheme="minorHAnsi" w:cstheme="minorHAnsi"/>
                <w:color w:val="000000"/>
                <w:sz w:val="24"/>
                <w:highlight w:val="yellow"/>
              </w:rPr>
            </w:pPr>
            <w:r w:rsidRPr="00CA7672">
              <w:rPr>
                <w:rFonts w:asciiTheme="minorHAnsi" w:hAnsiTheme="minorHAnsi" w:cstheme="minorHAnsi"/>
                <w:color w:val="000000"/>
                <w:sz w:val="21"/>
                <w:szCs w:val="21"/>
                <w:lang w:eastAsia="en-GB"/>
              </w:rPr>
              <w:t xml:space="preserve">The ivory gull is legally protected in the whole of its distribution range. An international ”Conservation Strategy and Action Plan”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was presented by the Arctic Council (Conservation of Arctic Flora and Fauna, CAFF) and CBIRD (CAFF’s circumpolar seabird group). The ivory gull is also listed as “Near Threatened” by the International Union for Conservation of Nature, IUCN (</w:t>
            </w:r>
            <w:proofErr w:type="spellStart"/>
            <w:r w:rsidRPr="00CA7672">
              <w:rPr>
                <w:rFonts w:asciiTheme="minorHAnsi" w:hAnsiTheme="minorHAnsi" w:cstheme="minorHAnsi"/>
                <w:color w:val="000000"/>
                <w:sz w:val="21"/>
                <w:szCs w:val="21"/>
                <w:lang w:eastAsia="en-GB"/>
              </w:rPr>
              <w:t>BirdLife</w:t>
            </w:r>
            <w:proofErr w:type="spellEnd"/>
            <w:r w:rsidRPr="00CA7672">
              <w:rPr>
                <w:rFonts w:asciiTheme="minorHAnsi" w:hAnsiTheme="minorHAnsi" w:cstheme="minorHAnsi"/>
                <w:color w:val="000000"/>
                <w:sz w:val="21"/>
                <w:szCs w:val="21"/>
                <w:lang w:eastAsia="en-GB"/>
              </w:rPr>
              <w:t xml:space="preserve"> International 2018). In the OSPAR region, most ivory gull colonies and surrounding foraging areas </w:t>
            </w:r>
            <w:proofErr w:type="gramStart"/>
            <w:r w:rsidRPr="00CA7672">
              <w:rPr>
                <w:rFonts w:asciiTheme="minorHAnsi" w:hAnsiTheme="minorHAnsi" w:cstheme="minorHAnsi"/>
                <w:color w:val="000000"/>
                <w:sz w:val="21"/>
                <w:szCs w:val="21"/>
                <w:lang w:eastAsia="en-GB"/>
              </w:rPr>
              <w:t>are located in</w:t>
            </w:r>
            <w:proofErr w:type="gramEnd"/>
            <w:r w:rsidRPr="00CA7672">
              <w:rPr>
                <w:rFonts w:asciiTheme="minorHAnsi" w:hAnsiTheme="minorHAnsi" w:cstheme="minorHAnsi"/>
                <w:color w:val="000000"/>
                <w:sz w:val="21"/>
                <w:szCs w:val="21"/>
                <w:lang w:eastAsia="en-GB"/>
              </w:rPr>
              <w:t xml:space="preserve"> </w:t>
            </w:r>
            <w:r w:rsidR="003343CA" w:rsidRPr="00CA7672">
              <w:rPr>
                <w:rFonts w:asciiTheme="minorHAnsi" w:hAnsiTheme="minorHAnsi" w:cstheme="minorHAnsi"/>
                <w:color w:val="000000"/>
                <w:sz w:val="21"/>
                <w:szCs w:val="21"/>
                <w:lang w:eastAsia="en-GB"/>
              </w:rPr>
              <w:t>M</w:t>
            </w:r>
            <w:r w:rsidRPr="00CA7672">
              <w:rPr>
                <w:rFonts w:asciiTheme="minorHAnsi" w:hAnsiTheme="minorHAnsi" w:cstheme="minorHAnsi"/>
                <w:color w:val="000000"/>
                <w:sz w:val="21"/>
                <w:szCs w:val="21"/>
                <w:lang w:eastAsia="en-GB"/>
              </w:rPr>
              <w:t xml:space="preserve">arine </w:t>
            </w:r>
            <w:r w:rsidR="003343CA" w:rsidRPr="00CA7672">
              <w:rPr>
                <w:rFonts w:asciiTheme="minorHAnsi" w:hAnsiTheme="minorHAnsi" w:cstheme="minorHAnsi"/>
                <w:color w:val="000000"/>
                <w:sz w:val="21"/>
                <w:szCs w:val="21"/>
                <w:lang w:eastAsia="en-GB"/>
              </w:rPr>
              <w:t>P</w:t>
            </w:r>
            <w:r w:rsidRPr="00CA7672">
              <w:rPr>
                <w:rFonts w:asciiTheme="minorHAnsi" w:hAnsiTheme="minorHAnsi" w:cstheme="minorHAnsi"/>
                <w:color w:val="000000"/>
                <w:sz w:val="21"/>
                <w:szCs w:val="21"/>
                <w:lang w:eastAsia="en-GB"/>
              </w:rPr>
              <w:t xml:space="preserve">rotected </w:t>
            </w:r>
            <w:r w:rsidR="003343CA" w:rsidRPr="00CA7672">
              <w:rPr>
                <w:rFonts w:asciiTheme="minorHAnsi" w:hAnsiTheme="minorHAnsi" w:cstheme="minorHAnsi"/>
                <w:color w:val="000000"/>
                <w:sz w:val="21"/>
                <w:szCs w:val="21"/>
                <w:lang w:eastAsia="en-GB"/>
              </w:rPr>
              <w:t>A</w:t>
            </w:r>
            <w:r w:rsidRPr="00CA7672">
              <w:rPr>
                <w:rFonts w:asciiTheme="minorHAnsi" w:hAnsiTheme="minorHAnsi" w:cstheme="minorHAnsi"/>
                <w:color w:val="000000"/>
                <w:sz w:val="21"/>
                <w:szCs w:val="21"/>
                <w:lang w:eastAsia="en-GB"/>
              </w:rPr>
              <w:t xml:space="preserve">reas (MPA). In Greenland, most ivory gull colonies are in the Northeast Greenland National Park. The Northeast Greenland </w:t>
            </w:r>
            <w:r w:rsidRPr="00CA7672">
              <w:rPr>
                <w:rFonts w:asciiTheme="minorHAnsi" w:hAnsiTheme="minorHAnsi" w:cstheme="minorHAnsi"/>
                <w:color w:val="000000"/>
                <w:sz w:val="21"/>
                <w:szCs w:val="21"/>
                <w:lang w:eastAsia="en-GB"/>
              </w:rPr>
              <w:lastRenderedPageBreak/>
              <w:t xml:space="preserve">National Park includes areas on land, fjords and marine habitat within 3 nautical miles from the coast. While it covers some marine terminating glaciers and a little of the ice edge habitat, it does not extend far enough to protect the </w:t>
            </w:r>
            <w:r w:rsidR="003343CA" w:rsidRPr="00CA7672">
              <w:rPr>
                <w:rFonts w:asciiTheme="minorHAnsi" w:hAnsiTheme="minorHAnsi" w:cstheme="minorHAnsi"/>
                <w:color w:val="000000"/>
                <w:sz w:val="21"/>
                <w:szCs w:val="21"/>
                <w:lang w:eastAsia="en-GB"/>
              </w:rPr>
              <w:t>whole</w:t>
            </w:r>
            <w:r w:rsidRPr="00CA7672">
              <w:rPr>
                <w:rFonts w:asciiTheme="minorHAnsi" w:hAnsiTheme="minorHAnsi" w:cstheme="minorHAnsi"/>
                <w:color w:val="000000"/>
                <w:sz w:val="21"/>
                <w:szCs w:val="21"/>
                <w:lang w:eastAsia="en-GB"/>
              </w:rPr>
              <w:t xml:space="preserve"> foraging range of the ivory gu</w:t>
            </w:r>
            <w:r w:rsidR="00695424" w:rsidRPr="00CA7672">
              <w:rPr>
                <w:rFonts w:asciiTheme="minorHAnsi" w:hAnsiTheme="minorHAnsi" w:cstheme="minorHAnsi"/>
                <w:color w:val="000000"/>
                <w:sz w:val="21"/>
                <w:szCs w:val="21"/>
                <w:lang w:eastAsia="en-GB"/>
              </w:rPr>
              <w:t>l</w:t>
            </w:r>
            <w:r w:rsidRPr="00CA7672">
              <w:rPr>
                <w:rFonts w:asciiTheme="minorHAnsi" w:hAnsiTheme="minorHAnsi" w:cstheme="minorHAnsi"/>
                <w:color w:val="000000"/>
                <w:sz w:val="21"/>
                <w:szCs w:val="21"/>
                <w:lang w:eastAsia="en-GB"/>
              </w:rPr>
              <w:t xml:space="preserve">l. </w:t>
            </w:r>
          </w:p>
        </w:tc>
      </w:tr>
      <w:tr w:rsidR="00645F89" w:rsidRPr="00CA7672" w14:paraId="57420AF6" w14:textId="77777777" w:rsidTr="00F51724">
        <w:tc>
          <w:tcPr>
            <w:tcW w:w="2563" w:type="dxa"/>
            <w:tcMar>
              <w:top w:w="144" w:type="dxa"/>
              <w:left w:w="115" w:type="dxa"/>
              <w:bottom w:w="144" w:type="dxa"/>
              <w:right w:w="115" w:type="dxa"/>
            </w:tcMar>
          </w:tcPr>
          <w:p w14:paraId="5F4CD2F7"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Conclusion</w:t>
            </w:r>
          </w:p>
          <w:p w14:paraId="2146252D" w14:textId="77777777" w:rsidR="00645F89" w:rsidRPr="00CA7672" w:rsidRDefault="00645F89" w:rsidP="00645F89">
            <w:pPr>
              <w:tabs>
                <w:tab w:val="clear" w:pos="567"/>
              </w:tabs>
              <w:spacing w:before="12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(including management considerations) </w:t>
            </w:r>
          </w:p>
          <w:p w14:paraId="1B0CE1DA" w14:textId="77777777" w:rsidR="00645F89" w:rsidRPr="00CA7672" w:rsidRDefault="00645F89" w:rsidP="00645F89">
            <w:pPr>
              <w:tabs>
                <w:tab w:val="clear" w:pos="567"/>
              </w:tabs>
              <w:spacing w:line="240" w:lineRule="auto"/>
              <w:rPr>
                <w:rFonts w:asciiTheme="minorHAnsi" w:hAnsiTheme="minorHAnsi" w:cstheme="minorHAnsi"/>
                <w:color w:val="000000"/>
                <w:sz w:val="24"/>
              </w:rPr>
            </w:pPr>
          </w:p>
        </w:tc>
        <w:tc>
          <w:tcPr>
            <w:tcW w:w="7610" w:type="dxa"/>
            <w:tcMar>
              <w:top w:w="144" w:type="dxa"/>
              <w:left w:w="115" w:type="dxa"/>
              <w:bottom w:w="144" w:type="dxa"/>
              <w:right w:w="115" w:type="dxa"/>
            </w:tcMar>
          </w:tcPr>
          <w:p w14:paraId="58412C01" w14:textId="489B34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The status of the ivory gull in </w:t>
            </w:r>
            <w:r w:rsidR="003343CA" w:rsidRPr="00CA7672">
              <w:rPr>
                <w:rFonts w:asciiTheme="minorHAnsi" w:hAnsiTheme="minorHAnsi" w:cstheme="minorHAnsi"/>
                <w:color w:val="000000"/>
                <w:sz w:val="21"/>
                <w:szCs w:val="21"/>
                <w:lang w:eastAsia="en-GB"/>
              </w:rPr>
              <w:t xml:space="preserve">Region I </w:t>
            </w:r>
            <w:r w:rsidRPr="00CA7672">
              <w:rPr>
                <w:rFonts w:asciiTheme="minorHAnsi" w:hAnsiTheme="minorHAnsi" w:cstheme="minorHAnsi"/>
                <w:color w:val="000000"/>
                <w:sz w:val="21"/>
                <w:szCs w:val="21"/>
                <w:lang w:eastAsia="en-GB"/>
              </w:rPr>
              <w:t xml:space="preserve">is deteriorating. Population size is small (current estimate: 3500-4500 pairs) with colonies located in a limited number of high-Arctic breeding sites in northeast Greenland, Svalbard, and the western islands of Franz Josef Land. The OSPAR population of ivory gulls is declining, especially in Svalbard where a 40% reduction in breeding pairs has recently been observed. A dramatic population decline (70-80%) has also been documented in Canada (Gilchrist and Mallory 2005, Environment Canada 2014). The species is extremely vulnerable to climate warming, because of the deterioration of its key habitat: </w:t>
            </w:r>
            <w:proofErr w:type="gramStart"/>
            <w:r w:rsidRPr="00CA7672">
              <w:rPr>
                <w:rFonts w:asciiTheme="minorHAnsi" w:hAnsiTheme="minorHAnsi" w:cstheme="minorHAnsi"/>
                <w:color w:val="000000"/>
                <w:sz w:val="21"/>
                <w:szCs w:val="21"/>
                <w:lang w:eastAsia="en-GB"/>
              </w:rPr>
              <w:t>the sea</w:t>
            </w:r>
            <w:proofErr w:type="gramEnd"/>
            <w:r w:rsidRPr="00CA7672">
              <w:rPr>
                <w:rFonts w:asciiTheme="minorHAnsi" w:hAnsiTheme="minorHAnsi" w:cstheme="minorHAnsi"/>
                <w:color w:val="000000"/>
                <w:sz w:val="21"/>
                <w:szCs w:val="21"/>
                <w:lang w:eastAsia="en-GB"/>
              </w:rPr>
              <w:t xml:space="preserve">-ice. As a top predator in the Arctic marine food web, ivory gulls are threatened by high levels of contaminant exposure due to bioaccumulation of mercury and persistent organic pollutants. Disturbance related to more human activity in an increasingly ice-free Arctic may also have a negative impact on ivory gulls, although at the current scale it is not thought to influence population numbers. It is assumed that ivory gulls belong to one global population, with individuals moving frequently between breeding colonies and with most birds gathering in the Davis Strait and Labrador Sea in winter. Therefore, international collaboration, including countries outside </w:t>
            </w:r>
            <w:r w:rsidR="003343CA" w:rsidRPr="00CA7672">
              <w:rPr>
                <w:rFonts w:asciiTheme="minorHAnsi" w:hAnsiTheme="minorHAnsi" w:cstheme="minorHAnsi"/>
                <w:color w:val="000000"/>
                <w:sz w:val="21"/>
                <w:szCs w:val="21"/>
                <w:lang w:eastAsia="en-GB"/>
              </w:rPr>
              <w:t>Region I</w:t>
            </w:r>
            <w:r w:rsidRPr="00CA7672">
              <w:rPr>
                <w:rFonts w:asciiTheme="minorHAnsi" w:hAnsiTheme="minorHAnsi" w:cstheme="minorHAnsi"/>
                <w:color w:val="000000"/>
                <w:sz w:val="21"/>
                <w:szCs w:val="21"/>
                <w:lang w:eastAsia="en-GB"/>
              </w:rPr>
              <w:t>, is a prerequisite for continued monitoring and conservation management of ivory gulls.</w:t>
            </w:r>
          </w:p>
        </w:tc>
      </w:tr>
      <w:tr w:rsidR="00645F89" w:rsidRPr="00CA7672" w14:paraId="70B21DB6" w14:textId="77777777" w:rsidTr="00F51724">
        <w:tc>
          <w:tcPr>
            <w:tcW w:w="2563" w:type="dxa"/>
            <w:tcMar>
              <w:top w:w="144" w:type="dxa"/>
              <w:left w:w="115" w:type="dxa"/>
              <w:bottom w:w="144" w:type="dxa"/>
              <w:right w:w="115" w:type="dxa"/>
            </w:tcMar>
          </w:tcPr>
          <w:p w14:paraId="1BAB6F16"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Knowledge gaps</w:t>
            </w:r>
          </w:p>
          <w:p w14:paraId="1AD1722A" w14:textId="77777777" w:rsidR="00645F89" w:rsidRPr="00CA7672" w:rsidRDefault="00645F89" w:rsidP="00645F89">
            <w:pPr>
              <w:tabs>
                <w:tab w:val="clear" w:pos="567"/>
              </w:tabs>
              <w:spacing w:line="240" w:lineRule="auto"/>
              <w:rPr>
                <w:rFonts w:asciiTheme="minorHAnsi" w:hAnsiTheme="minorHAnsi" w:cstheme="minorHAnsi"/>
                <w:color w:val="000000"/>
                <w:sz w:val="21"/>
                <w:szCs w:val="21"/>
              </w:rPr>
            </w:pPr>
          </w:p>
          <w:p w14:paraId="7015808F" w14:textId="77777777" w:rsidR="00645F89" w:rsidRPr="00CA7672" w:rsidRDefault="00645F89" w:rsidP="00645F89">
            <w:pPr>
              <w:tabs>
                <w:tab w:val="clear" w:pos="567"/>
              </w:tabs>
              <w:spacing w:line="240" w:lineRule="auto"/>
              <w:rPr>
                <w:rFonts w:asciiTheme="minorHAnsi" w:hAnsiTheme="minorHAnsi" w:cstheme="minorHAnsi"/>
                <w:color w:val="000000"/>
                <w:sz w:val="21"/>
                <w:szCs w:val="21"/>
              </w:rPr>
            </w:pPr>
          </w:p>
        </w:tc>
        <w:tc>
          <w:tcPr>
            <w:tcW w:w="7610" w:type="dxa"/>
            <w:tcMar>
              <w:top w:w="144" w:type="dxa"/>
              <w:left w:w="115" w:type="dxa"/>
              <w:bottom w:w="144" w:type="dxa"/>
              <w:right w:w="115" w:type="dxa"/>
            </w:tcMar>
          </w:tcPr>
          <w:p w14:paraId="03F1DCD9" w14:textId="0538830A"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For conservation purposes, it is important to combine up to date survey data from the whole of the species’ distribution range, including Arctic Russia, where most colonies of ivory gulls occur (86% global population, Gilchrist </w:t>
            </w:r>
            <w:r w:rsidR="00395F20" w:rsidRPr="00CA7672">
              <w:rPr>
                <w:rFonts w:asciiTheme="minorHAnsi" w:hAnsiTheme="minorHAnsi" w:cstheme="minorHAnsi"/>
                <w:i/>
                <w:iCs/>
                <w:color w:val="000000"/>
                <w:sz w:val="21"/>
                <w:szCs w:val="21"/>
              </w:rPr>
              <w:t>et al.,</w:t>
            </w:r>
            <w:r w:rsidRPr="00CA7672">
              <w:rPr>
                <w:rFonts w:asciiTheme="minorHAnsi" w:hAnsiTheme="minorHAnsi" w:cstheme="minorHAnsi"/>
                <w:color w:val="000000"/>
                <w:sz w:val="21"/>
                <w:szCs w:val="21"/>
              </w:rPr>
              <w:t xml:space="preserve"> 2008). It is also important to investigate how ecological changes in the Davis Strait and Labrador Sea, the species’ main wintering area, may affect ivory gulls breeding in </w:t>
            </w:r>
            <w:r w:rsidR="0011217F" w:rsidRPr="00CA7672">
              <w:rPr>
                <w:rFonts w:asciiTheme="minorHAnsi" w:hAnsiTheme="minorHAnsi" w:cstheme="minorHAnsi"/>
                <w:color w:val="000000"/>
                <w:sz w:val="21"/>
                <w:szCs w:val="21"/>
              </w:rPr>
              <w:t>Region I</w:t>
            </w:r>
            <w:r w:rsidRPr="00CA7672">
              <w:rPr>
                <w:rFonts w:asciiTheme="minorHAnsi" w:hAnsiTheme="minorHAnsi" w:cstheme="minorHAnsi"/>
                <w:color w:val="000000"/>
                <w:sz w:val="21"/>
                <w:szCs w:val="21"/>
              </w:rPr>
              <w:t xml:space="preserve">. Furthermore, when assessing the status of the ivory gull, it </w:t>
            </w:r>
            <w:proofErr w:type="gramStart"/>
            <w:r w:rsidRPr="00CA7672">
              <w:rPr>
                <w:rFonts w:asciiTheme="minorHAnsi" w:hAnsiTheme="minorHAnsi" w:cstheme="minorHAnsi"/>
                <w:color w:val="000000"/>
                <w:sz w:val="21"/>
                <w:szCs w:val="21"/>
              </w:rPr>
              <w:t>will be</w:t>
            </w:r>
            <w:proofErr w:type="gramEnd"/>
            <w:r w:rsidRPr="00CA7672">
              <w:rPr>
                <w:rFonts w:asciiTheme="minorHAnsi" w:hAnsiTheme="minorHAnsi" w:cstheme="minorHAnsi"/>
                <w:color w:val="000000"/>
                <w:sz w:val="21"/>
                <w:szCs w:val="21"/>
              </w:rPr>
              <w:t xml:space="preserve"> important to consider multiple stressors and how they interact: climate warming, loss of sea ice habitat and contaminant exposure.</w:t>
            </w:r>
          </w:p>
        </w:tc>
      </w:tr>
      <w:tr w:rsidR="00645F89" w:rsidRPr="00CA7672" w14:paraId="48145391" w14:textId="77777777" w:rsidTr="00F51724">
        <w:tc>
          <w:tcPr>
            <w:tcW w:w="2563" w:type="dxa"/>
            <w:tcMar>
              <w:top w:w="144" w:type="dxa"/>
              <w:left w:w="115" w:type="dxa"/>
              <w:bottom w:w="144" w:type="dxa"/>
              <w:right w:w="115" w:type="dxa"/>
            </w:tcMar>
          </w:tcPr>
          <w:p w14:paraId="7C2AC7C0"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 xml:space="preserve">References </w:t>
            </w:r>
          </w:p>
        </w:tc>
        <w:tc>
          <w:tcPr>
            <w:tcW w:w="7610" w:type="dxa"/>
            <w:tcMar>
              <w:top w:w="144" w:type="dxa"/>
              <w:left w:w="115" w:type="dxa"/>
              <w:bottom w:w="144" w:type="dxa"/>
              <w:right w:w="115" w:type="dxa"/>
            </w:tcMar>
          </w:tcPr>
          <w:p w14:paraId="103DFBAD"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val="nb-NO" w:eastAsia="en-GB"/>
              </w:rPr>
              <w:t>Boertmann, D., Petersen, I.K. and Nielsen, H.H. (2020). Ivory gull population status in Greenland 2019. Dansk Ornithologisk Forenings Tidsskrift 114: 141-150.</w:t>
            </w:r>
          </w:p>
          <w:p w14:paraId="34ECD71E" w14:textId="37EC1021" w:rsidR="00645F89" w:rsidRPr="00CA7672" w:rsidRDefault="00645F89" w:rsidP="00645F89">
            <w:pPr>
              <w:tabs>
                <w:tab w:val="clear" w:pos="567"/>
              </w:tabs>
              <w:spacing w:after="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Bond, A.L., Hobson, K.A., </w:t>
            </w:r>
            <w:proofErr w:type="spellStart"/>
            <w:r w:rsidRPr="00CA7672">
              <w:rPr>
                <w:rFonts w:asciiTheme="minorHAnsi" w:hAnsiTheme="minorHAnsi" w:cstheme="minorHAnsi"/>
                <w:color w:val="000000"/>
                <w:sz w:val="21"/>
                <w:szCs w:val="21"/>
                <w:lang w:eastAsia="en-GB"/>
              </w:rPr>
              <w:t>Branfireun</w:t>
            </w:r>
            <w:proofErr w:type="spellEnd"/>
            <w:r w:rsidRPr="00CA7672">
              <w:rPr>
                <w:rFonts w:asciiTheme="minorHAnsi" w:hAnsiTheme="minorHAnsi" w:cstheme="minorHAnsi"/>
                <w:color w:val="000000"/>
                <w:sz w:val="21"/>
                <w:szCs w:val="21"/>
                <w:lang w:eastAsia="en-GB"/>
              </w:rPr>
              <w:t>, B.A. (2015). Rapidly increasing methyl mercury in endangered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feathers over a </w:t>
            </w:r>
            <w:proofErr w:type="gramStart"/>
            <w:r w:rsidRPr="00CA7672">
              <w:rPr>
                <w:rFonts w:asciiTheme="minorHAnsi" w:hAnsiTheme="minorHAnsi" w:cstheme="minorHAnsi"/>
                <w:color w:val="000000"/>
                <w:sz w:val="21"/>
                <w:szCs w:val="21"/>
                <w:lang w:eastAsia="en-GB"/>
              </w:rPr>
              <w:t>130 year</w:t>
            </w:r>
            <w:proofErr w:type="gramEnd"/>
            <w:r w:rsidRPr="00CA7672">
              <w:rPr>
                <w:rFonts w:asciiTheme="minorHAnsi" w:hAnsiTheme="minorHAnsi" w:cstheme="minorHAnsi"/>
                <w:color w:val="000000"/>
                <w:sz w:val="21"/>
                <w:szCs w:val="21"/>
                <w:lang w:eastAsia="en-GB"/>
              </w:rPr>
              <w:t xml:space="preserve"> record. Proceedings Royal Society London B 282: 20150032. Doi: http://dx.doi.org/10.1098/rspb.2015.0032.</w:t>
            </w:r>
          </w:p>
          <w:p w14:paraId="7D05675F" w14:textId="77777777" w:rsidR="00645F89" w:rsidRPr="00CA7672" w:rsidRDefault="00645F89" w:rsidP="00645F89">
            <w:pPr>
              <w:tabs>
                <w:tab w:val="clear" w:pos="567"/>
              </w:tabs>
              <w:spacing w:after="0" w:line="240" w:lineRule="auto"/>
              <w:ind w:left="288" w:hanging="288"/>
              <w:jc w:val="left"/>
              <w:rPr>
                <w:rFonts w:asciiTheme="minorHAnsi" w:hAnsiTheme="minorHAnsi" w:cstheme="minorHAnsi"/>
                <w:color w:val="000000"/>
                <w:sz w:val="21"/>
                <w:szCs w:val="21"/>
                <w:lang w:eastAsia="en-GB"/>
              </w:rPr>
            </w:pPr>
          </w:p>
          <w:p w14:paraId="535BA0AB" w14:textId="3289A13C"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fr-FR" w:eastAsia="en-GB"/>
              </w:rPr>
            </w:pPr>
            <w:proofErr w:type="spellStart"/>
            <w:proofErr w:type="gramStart"/>
            <w:r w:rsidRPr="00CA7672">
              <w:rPr>
                <w:rFonts w:asciiTheme="minorHAnsi" w:hAnsiTheme="minorHAnsi" w:cstheme="minorHAnsi"/>
                <w:color w:val="000000"/>
                <w:sz w:val="21"/>
                <w:szCs w:val="21"/>
                <w:lang w:eastAsia="en-GB"/>
              </w:rPr>
              <w:t>BirdLife</w:t>
            </w:r>
            <w:proofErr w:type="spellEnd"/>
            <w:proofErr w:type="gramEnd"/>
            <w:r w:rsidRPr="00CA7672">
              <w:rPr>
                <w:rFonts w:asciiTheme="minorHAnsi" w:hAnsiTheme="minorHAnsi" w:cstheme="minorHAnsi"/>
                <w:color w:val="000000"/>
                <w:sz w:val="21"/>
                <w:szCs w:val="21"/>
                <w:lang w:eastAsia="en-GB"/>
              </w:rPr>
              <w:t xml:space="preserve"> International (2018).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The IUCN Red List of Threatened Species 2018: e.T22694473A132555020. </w:t>
            </w:r>
            <w:proofErr w:type="spellStart"/>
            <w:proofErr w:type="gramStart"/>
            <w:r w:rsidRPr="00CA7672">
              <w:rPr>
                <w:rFonts w:asciiTheme="minorHAnsi" w:hAnsiTheme="minorHAnsi" w:cstheme="minorHAnsi"/>
                <w:color w:val="000000"/>
                <w:sz w:val="21"/>
                <w:szCs w:val="21"/>
                <w:lang w:val="fr-FR" w:eastAsia="en-GB"/>
              </w:rPr>
              <w:t>Doi</w:t>
            </w:r>
            <w:proofErr w:type="spellEnd"/>
            <w:r w:rsidRPr="00CA7672">
              <w:rPr>
                <w:rFonts w:asciiTheme="minorHAnsi" w:hAnsiTheme="minorHAnsi" w:cstheme="minorHAnsi"/>
                <w:color w:val="000000"/>
                <w:sz w:val="21"/>
                <w:szCs w:val="21"/>
                <w:lang w:val="fr-FR" w:eastAsia="en-GB"/>
              </w:rPr>
              <w:t>:</w:t>
            </w:r>
            <w:proofErr w:type="gramEnd"/>
            <w:r w:rsidRPr="00CA7672">
              <w:rPr>
                <w:rFonts w:asciiTheme="minorHAnsi" w:hAnsiTheme="minorHAnsi" w:cstheme="minorHAnsi"/>
                <w:color w:val="000000"/>
                <w:sz w:val="21"/>
                <w:szCs w:val="21"/>
                <w:lang w:val="fr-FR" w:eastAsia="en-GB"/>
              </w:rPr>
              <w:t xml:space="preserve"> http://dx.doi.org/10.2305/IUCN.UK.2018- </w:t>
            </w:r>
            <w:proofErr w:type="gramStart"/>
            <w:r w:rsidRPr="00CA7672">
              <w:rPr>
                <w:rFonts w:asciiTheme="minorHAnsi" w:hAnsiTheme="minorHAnsi" w:cstheme="minorHAnsi"/>
                <w:color w:val="000000"/>
                <w:sz w:val="21"/>
                <w:szCs w:val="21"/>
                <w:lang w:val="fr-FR" w:eastAsia="en-GB"/>
              </w:rPr>
              <w:t>2.RLTS.T</w:t>
            </w:r>
            <w:proofErr w:type="gramEnd"/>
            <w:r w:rsidRPr="00CA7672">
              <w:rPr>
                <w:rFonts w:asciiTheme="minorHAnsi" w:hAnsiTheme="minorHAnsi" w:cstheme="minorHAnsi"/>
                <w:color w:val="000000"/>
                <w:sz w:val="21"/>
                <w:szCs w:val="21"/>
                <w:lang w:val="fr-FR" w:eastAsia="en-GB"/>
              </w:rPr>
              <w:t>22694473A132555020.en.</w:t>
            </w:r>
          </w:p>
          <w:p w14:paraId="7D2FB561" w14:textId="7C085AEE"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Dumas, K., Gilg, O., Courbin, N., Corregidor-Castro, A., </w:t>
            </w:r>
            <w:proofErr w:type="spellStart"/>
            <w:r w:rsidRPr="00CA7672">
              <w:rPr>
                <w:rFonts w:asciiTheme="minorHAnsi" w:hAnsiTheme="minorHAnsi" w:cstheme="minorHAnsi"/>
                <w:color w:val="000000"/>
                <w:sz w:val="21"/>
                <w:szCs w:val="21"/>
                <w:lang w:eastAsia="en-GB"/>
              </w:rPr>
              <w:t>Evanno</w:t>
            </w:r>
            <w:proofErr w:type="spellEnd"/>
            <w:r w:rsidRPr="00CA7672">
              <w:rPr>
                <w:rFonts w:asciiTheme="minorHAnsi" w:hAnsiTheme="minorHAnsi" w:cstheme="minorHAnsi"/>
                <w:color w:val="000000"/>
                <w:sz w:val="21"/>
                <w:szCs w:val="21"/>
                <w:lang w:eastAsia="en-GB"/>
              </w:rPr>
              <w:t>, G., Strøm, H., Mosbech, A., Fredriksen, M., and Yannic, G. (2022). Influence of </w:t>
            </w:r>
            <w:proofErr w:type="gramStart"/>
            <w:r w:rsidRPr="00CA7672">
              <w:rPr>
                <w:rFonts w:asciiTheme="minorHAnsi" w:hAnsiTheme="minorHAnsi" w:cstheme="minorHAnsi"/>
                <w:color w:val="000000"/>
                <w:sz w:val="21"/>
                <w:szCs w:val="21"/>
                <w:lang w:eastAsia="en-GB"/>
              </w:rPr>
              <w:t>sea</w:t>
            </w:r>
            <w:r w:rsidRPr="00CA7672">
              <w:rPr>
                <w:rFonts w:asciiTheme="minorHAnsi" w:hAnsiTheme="minorHAnsi" w:cstheme="minorHAnsi"/>
                <w:color w:val="000000"/>
                <w:sz w:val="21"/>
                <w:szCs w:val="21"/>
                <w:lang w:eastAsia="en-GB"/>
              </w:rPr>
              <w:noBreakHyphen/>
              <w:t>ice</w:t>
            </w:r>
            <w:r w:rsidRPr="00CA7672">
              <w:rPr>
                <w:rFonts w:asciiTheme="minorHAnsi" w:hAnsiTheme="minorHAnsi" w:cstheme="minorHAnsi"/>
                <w:color w:val="000000"/>
                <w:sz w:val="21"/>
                <w:szCs w:val="21"/>
                <w:lang w:eastAsia="en-GB"/>
              </w:rPr>
              <w:noBreakHyphen/>
            </w:r>
            <w:proofErr w:type="gramEnd"/>
            <w:r w:rsidRPr="00CA7672">
              <w:rPr>
                <w:rFonts w:asciiTheme="minorHAnsi" w:hAnsiTheme="minorHAnsi" w:cstheme="minorHAnsi"/>
                <w:color w:val="000000"/>
                <w:sz w:val="21"/>
                <w:szCs w:val="21"/>
                <w:lang w:eastAsia="en-GB"/>
              </w:rPr>
              <w:t xml:space="preserve">related features and anthropogenic subsidies on the foraging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xml:space="preserve"> of a high</w:t>
            </w:r>
            <w:r w:rsidRPr="00CA7672">
              <w:rPr>
                <w:rFonts w:asciiTheme="minorHAnsi" w:hAnsiTheme="minorHAnsi" w:cstheme="minorHAnsi"/>
                <w:color w:val="000000"/>
                <w:sz w:val="21"/>
                <w:szCs w:val="21"/>
                <w:lang w:eastAsia="en-GB"/>
              </w:rPr>
              <w:noBreakHyphen/>
              <w:t>Arctic seabird,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Marine Biology 169:151. Doi: </w:t>
            </w:r>
            <w:hyperlink r:id="rId11" w:history="1">
              <w:r w:rsidRPr="00CA7672">
                <w:rPr>
                  <w:rFonts w:asciiTheme="minorHAnsi" w:hAnsiTheme="minorHAnsi" w:cstheme="minorHAnsi"/>
                  <w:color w:val="000000"/>
                  <w:sz w:val="21"/>
                  <w:szCs w:val="21"/>
                  <w:lang w:eastAsia="en-GB"/>
                </w:rPr>
                <w:t>https://doi.org/10.1007/s00227-022-04137-5</w:t>
              </w:r>
            </w:hyperlink>
            <w:r w:rsidR="0011217F" w:rsidRPr="00CA7672">
              <w:rPr>
                <w:rFonts w:asciiTheme="minorHAnsi" w:hAnsiTheme="minorHAnsi" w:cstheme="minorHAnsi"/>
              </w:rPr>
              <w:t xml:space="preserve">  </w:t>
            </w:r>
          </w:p>
          <w:p w14:paraId="2A4E54B5"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Environment Canada (2014). Recovery Strategy for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Canada. Species at Risk Act Recovery Strategy Series. Environment Canada, Ottawa. iv+ 21 </w:t>
            </w:r>
            <w:proofErr w:type="gramStart"/>
            <w:r w:rsidRPr="00CA7672">
              <w:rPr>
                <w:rFonts w:asciiTheme="minorHAnsi" w:hAnsiTheme="minorHAnsi" w:cstheme="minorHAnsi"/>
                <w:color w:val="000000"/>
                <w:sz w:val="21"/>
                <w:szCs w:val="21"/>
                <w:lang w:eastAsia="en-GB"/>
              </w:rPr>
              <w:t>pp</w:t>
            </w:r>
            <w:proofErr w:type="gramEnd"/>
            <w:r w:rsidRPr="00CA7672">
              <w:rPr>
                <w:rFonts w:asciiTheme="minorHAnsi" w:hAnsiTheme="minorHAnsi" w:cstheme="minorHAnsi"/>
                <w:color w:val="000000"/>
                <w:sz w:val="21"/>
                <w:szCs w:val="21"/>
                <w:lang w:eastAsia="en-GB"/>
              </w:rPr>
              <w:t>.</w:t>
            </w:r>
          </w:p>
          <w:p w14:paraId="1A147102" w14:textId="10B46224"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Gilchrist, H.G. and Mallory, M.L. (2005). Declines in abundance and distribution of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Arctic Canada. Biological Conservation 121: 303-309. Doi: </w:t>
            </w:r>
            <w:hyperlink r:id="rId12" w:history="1">
              <w:r w:rsidR="0011217F" w:rsidRPr="00CA7672">
                <w:rPr>
                  <w:rStyle w:val="Hyperlink"/>
                  <w:rFonts w:asciiTheme="minorHAnsi" w:hAnsiTheme="minorHAnsi" w:cstheme="minorHAnsi"/>
                  <w:sz w:val="21"/>
                  <w:szCs w:val="21"/>
                  <w:lang w:eastAsia="en-GB"/>
                </w:rPr>
                <w:t>https://doi.org/10.1016/j.biocon.2004.04.021</w:t>
              </w:r>
            </w:hyperlink>
            <w:r w:rsidR="0011217F" w:rsidRPr="00CA7672">
              <w:rPr>
                <w:rFonts w:asciiTheme="minorHAnsi" w:hAnsiTheme="minorHAnsi" w:cstheme="minorHAnsi"/>
                <w:color w:val="000000"/>
                <w:sz w:val="21"/>
                <w:szCs w:val="21"/>
                <w:lang w:eastAsia="en-GB"/>
              </w:rPr>
              <w:t xml:space="preserve"> </w:t>
            </w:r>
          </w:p>
          <w:p w14:paraId="1D40179F" w14:textId="7F181DFE"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Gilchrist, G., Strøm, H., Gavrilo, M.V., and Mosbech, A. (2008). International ivory gull conservation strategy and action plan. CAFF International Secretariat, Circumpolar Seabird Group (</w:t>
            </w:r>
            <w:proofErr w:type="spellStart"/>
            <w:r w:rsidRPr="00CA7672">
              <w:rPr>
                <w:rFonts w:asciiTheme="minorHAnsi" w:hAnsiTheme="minorHAnsi" w:cstheme="minorHAnsi"/>
                <w:color w:val="000000"/>
                <w:sz w:val="21"/>
                <w:szCs w:val="21"/>
                <w:lang w:eastAsia="en-GB"/>
              </w:rPr>
              <w:t>CBird</w:t>
            </w:r>
            <w:proofErr w:type="spellEnd"/>
            <w:r w:rsidRPr="00CA7672">
              <w:rPr>
                <w:rFonts w:asciiTheme="minorHAnsi" w:hAnsiTheme="minorHAnsi" w:cstheme="minorHAnsi"/>
                <w:color w:val="000000"/>
                <w:sz w:val="21"/>
                <w:szCs w:val="21"/>
                <w:lang w:eastAsia="en-GB"/>
              </w:rPr>
              <w:t>), CAFF technical report No.18.</w:t>
            </w:r>
          </w:p>
          <w:p w14:paraId="3ED6E396" w14:textId="4874EBCA"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da-DK" w:eastAsia="en-GB"/>
              </w:rPr>
              <w:t xml:space="preserve">Gilg, O., Strøm, H., Aebischer, A., Gavrilo, M.V., Volkov, A.E., Miljeteig, C. and Sabard, B. (2010). </w:t>
            </w:r>
            <w:r w:rsidRPr="00CA7672">
              <w:rPr>
                <w:rFonts w:asciiTheme="minorHAnsi" w:hAnsiTheme="minorHAnsi" w:cstheme="minorHAnsi"/>
                <w:color w:val="000000"/>
                <w:sz w:val="21"/>
                <w:szCs w:val="21"/>
                <w:lang w:eastAsia="en-GB"/>
              </w:rPr>
              <w:t>Post-breeding movements of northeast Atlantic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i/>
                <w:iCs/>
                <w:color w:val="000000"/>
                <w:sz w:val="21"/>
                <w:szCs w:val="21"/>
                <w:lang w:eastAsia="en-GB"/>
              </w:rPr>
              <w:t> </w:t>
            </w:r>
            <w:r w:rsidRPr="00CA7672">
              <w:rPr>
                <w:rFonts w:asciiTheme="minorHAnsi" w:hAnsiTheme="minorHAnsi" w:cstheme="minorHAnsi"/>
                <w:color w:val="000000"/>
                <w:sz w:val="21"/>
                <w:szCs w:val="21"/>
                <w:lang w:eastAsia="en-GB"/>
              </w:rPr>
              <w:t xml:space="preserve">populations. Journal of Avian Biology 41(5): 532-542. Doi: </w:t>
            </w:r>
            <w:hyperlink r:id="rId13" w:history="1">
              <w:r w:rsidR="0011217F" w:rsidRPr="00CA7672">
                <w:rPr>
                  <w:rStyle w:val="Hyperlink"/>
                  <w:rFonts w:asciiTheme="minorHAnsi" w:hAnsiTheme="minorHAnsi" w:cstheme="minorHAnsi"/>
                  <w:sz w:val="21"/>
                  <w:szCs w:val="21"/>
                  <w:lang w:eastAsia="en-GB"/>
                </w:rPr>
                <w:t>https://doi.org/10.1111/j.1600-048X.2010.05125.x</w:t>
              </w:r>
            </w:hyperlink>
            <w:r w:rsidR="0011217F" w:rsidRPr="00CA7672">
              <w:rPr>
                <w:rFonts w:asciiTheme="minorHAnsi" w:hAnsiTheme="minorHAnsi" w:cstheme="minorHAnsi"/>
                <w:color w:val="000000"/>
                <w:sz w:val="21"/>
                <w:szCs w:val="21"/>
                <w:lang w:eastAsia="en-GB"/>
              </w:rPr>
              <w:t xml:space="preserve"> </w:t>
            </w:r>
            <w:r w:rsidRPr="00CA7672">
              <w:rPr>
                <w:rFonts w:asciiTheme="minorHAnsi" w:hAnsiTheme="minorHAnsi" w:cstheme="minorHAnsi"/>
                <w:color w:val="000000"/>
                <w:sz w:val="21"/>
                <w:szCs w:val="21"/>
                <w:lang w:eastAsia="en-GB"/>
              </w:rPr>
              <w:t>.</w:t>
            </w:r>
          </w:p>
          <w:p w14:paraId="54E5CD81" w14:textId="7325CB5A"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Gilg, O., Istomina, L., </w:t>
            </w:r>
            <w:proofErr w:type="spellStart"/>
            <w:r w:rsidRPr="00CA7672">
              <w:rPr>
                <w:rFonts w:asciiTheme="minorHAnsi" w:hAnsiTheme="minorHAnsi" w:cstheme="minorHAnsi"/>
                <w:color w:val="000000"/>
                <w:sz w:val="21"/>
                <w:szCs w:val="21"/>
                <w:lang w:eastAsia="en-GB"/>
              </w:rPr>
              <w:t>Heygster</w:t>
            </w:r>
            <w:proofErr w:type="spellEnd"/>
            <w:r w:rsidRPr="00CA7672">
              <w:rPr>
                <w:rFonts w:asciiTheme="minorHAnsi" w:hAnsiTheme="minorHAnsi" w:cstheme="minorHAnsi"/>
                <w:color w:val="000000"/>
                <w:sz w:val="21"/>
                <w:szCs w:val="21"/>
                <w:lang w:eastAsia="en-GB"/>
              </w:rPr>
              <w:t xml:space="preserve">, G., Strøm, H., Gavrilo, M.V., Mallory, M.L., Gilchrist, G., Aebischer, A., </w:t>
            </w:r>
            <w:proofErr w:type="spellStart"/>
            <w:r w:rsidRPr="00CA7672">
              <w:rPr>
                <w:rFonts w:asciiTheme="minorHAnsi" w:hAnsiTheme="minorHAnsi" w:cstheme="minorHAnsi"/>
                <w:color w:val="000000"/>
                <w:sz w:val="21"/>
                <w:szCs w:val="21"/>
                <w:lang w:eastAsia="en-GB"/>
              </w:rPr>
              <w:t>Sabard</w:t>
            </w:r>
            <w:proofErr w:type="spellEnd"/>
            <w:r w:rsidRPr="00CA7672">
              <w:rPr>
                <w:rFonts w:asciiTheme="minorHAnsi" w:hAnsiTheme="minorHAnsi" w:cstheme="minorHAnsi"/>
                <w:color w:val="000000"/>
                <w:sz w:val="21"/>
                <w:szCs w:val="21"/>
                <w:lang w:eastAsia="en-GB"/>
              </w:rPr>
              <w:t xml:space="preserve">, B., </w:t>
            </w:r>
            <w:proofErr w:type="spellStart"/>
            <w:r w:rsidRPr="00CA7672">
              <w:rPr>
                <w:rFonts w:asciiTheme="minorHAnsi" w:hAnsiTheme="minorHAnsi" w:cstheme="minorHAnsi"/>
                <w:color w:val="000000"/>
                <w:sz w:val="21"/>
                <w:szCs w:val="21"/>
                <w:lang w:eastAsia="en-GB"/>
              </w:rPr>
              <w:t>Huntermann</w:t>
            </w:r>
            <w:proofErr w:type="spellEnd"/>
            <w:r w:rsidRPr="00CA7672">
              <w:rPr>
                <w:rFonts w:asciiTheme="minorHAnsi" w:hAnsiTheme="minorHAnsi" w:cstheme="minorHAnsi"/>
                <w:color w:val="000000"/>
                <w:sz w:val="21"/>
                <w:szCs w:val="21"/>
                <w:lang w:eastAsia="en-GB"/>
              </w:rPr>
              <w:t>, M., Mosbech, A. and Yannic, G. (2016). Living on the edge of a shrinking habitat: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an endangered sea-ice specialist. Biological Letters 12: 20160277. Doi: </w:t>
            </w:r>
            <w:hyperlink r:id="rId14" w:history="1">
              <w:r w:rsidR="002F5633" w:rsidRPr="00CA7672">
                <w:rPr>
                  <w:rStyle w:val="Hyperlink"/>
                  <w:rFonts w:asciiTheme="minorHAnsi" w:hAnsiTheme="minorHAnsi" w:cstheme="minorHAnsi"/>
                  <w:sz w:val="21"/>
                  <w:szCs w:val="21"/>
                  <w:lang w:eastAsia="en-GB"/>
                </w:rPr>
                <w:t>https://doi.org/10.1098/rsbl.2016.0277</w:t>
              </w:r>
            </w:hyperlink>
          </w:p>
          <w:p w14:paraId="0F09A9CE" w14:textId="5B48957D"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Lucia, M., Strøm, H., Bustamante, P. and Gabrielsen, G.W. (2016). Trace element concentrations in relation to the trophic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xml:space="preserve"> of endangered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during their stay at a breeding site in Svalbard. Archives in Environmental Contamination and Toxicology 71: 518–529. Doi: </w:t>
            </w:r>
            <w:hyperlink r:id="rId15" w:history="1">
              <w:r w:rsidR="00CC4B15" w:rsidRPr="00347591">
                <w:rPr>
                  <w:rStyle w:val="Hyperlink"/>
                  <w:rFonts w:asciiTheme="minorHAnsi" w:hAnsiTheme="minorHAnsi" w:cstheme="minorHAnsi"/>
                  <w:sz w:val="21"/>
                  <w:szCs w:val="21"/>
                  <w:lang w:eastAsia="en-GB"/>
                </w:rPr>
                <w:t>https://doi.org/10.1007/s00244-016-0320-6</w:t>
              </w:r>
            </w:hyperlink>
            <w:r w:rsidR="00CC4B15">
              <w:rPr>
                <w:rFonts w:asciiTheme="minorHAnsi" w:hAnsiTheme="minorHAnsi" w:cstheme="minorHAnsi"/>
                <w:color w:val="000000"/>
                <w:sz w:val="21"/>
                <w:szCs w:val="21"/>
                <w:lang w:eastAsia="en-GB"/>
              </w:rPr>
              <w:t xml:space="preserve"> </w:t>
            </w:r>
          </w:p>
          <w:p w14:paraId="00C3F272" w14:textId="406CBEE3"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Lucia, M., Strøm, H., Bustamante, P., </w:t>
            </w:r>
            <w:proofErr w:type="spellStart"/>
            <w:r w:rsidRPr="00CA7672">
              <w:rPr>
                <w:rFonts w:asciiTheme="minorHAnsi" w:hAnsiTheme="minorHAnsi" w:cstheme="minorHAnsi"/>
                <w:color w:val="000000"/>
                <w:sz w:val="21"/>
                <w:szCs w:val="21"/>
                <w:lang w:eastAsia="en-GB"/>
              </w:rPr>
              <w:t>Herzke</w:t>
            </w:r>
            <w:proofErr w:type="spellEnd"/>
            <w:r w:rsidRPr="00CA7672">
              <w:rPr>
                <w:rFonts w:asciiTheme="minorHAnsi" w:hAnsiTheme="minorHAnsi" w:cstheme="minorHAnsi"/>
                <w:color w:val="000000"/>
                <w:sz w:val="21"/>
                <w:szCs w:val="21"/>
                <w:lang w:eastAsia="en-GB"/>
              </w:rPr>
              <w:t>, D. and Gabrielsen, G.W. (2017). Contamination of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at four colonies in Svalbard in relation to their trophic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xml:space="preserve">. Polar Biology 40: 917–929. Doi: </w:t>
            </w:r>
            <w:hyperlink r:id="rId16" w:history="1">
              <w:r w:rsidR="00CC4B15" w:rsidRPr="00347591">
                <w:rPr>
                  <w:rStyle w:val="Hyperlink"/>
                  <w:rFonts w:asciiTheme="minorHAnsi" w:hAnsiTheme="minorHAnsi" w:cstheme="minorHAnsi"/>
                  <w:sz w:val="21"/>
                  <w:szCs w:val="21"/>
                  <w:lang w:eastAsia="en-GB"/>
                </w:rPr>
                <w:t>https://doi.org/10.1007/s00300-016-2017-7</w:t>
              </w:r>
            </w:hyperlink>
            <w:r w:rsidR="00CC4B15">
              <w:rPr>
                <w:rFonts w:asciiTheme="minorHAnsi" w:hAnsiTheme="minorHAnsi" w:cstheme="minorHAnsi"/>
                <w:color w:val="000000"/>
                <w:sz w:val="21"/>
                <w:szCs w:val="21"/>
                <w:lang w:eastAsia="en-GB"/>
              </w:rPr>
              <w:t xml:space="preserve"> </w:t>
            </w:r>
          </w:p>
          <w:p w14:paraId="7838B223" w14:textId="3B21C0B6"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Lydersen, C., </w:t>
            </w:r>
            <w:proofErr w:type="spellStart"/>
            <w:r w:rsidRPr="00CA7672">
              <w:rPr>
                <w:rFonts w:asciiTheme="minorHAnsi" w:hAnsiTheme="minorHAnsi" w:cstheme="minorHAnsi"/>
                <w:color w:val="000000"/>
                <w:sz w:val="21"/>
                <w:szCs w:val="21"/>
                <w:lang w:eastAsia="en-GB"/>
              </w:rPr>
              <w:t>Assmy</w:t>
            </w:r>
            <w:proofErr w:type="spellEnd"/>
            <w:r w:rsidRPr="00CA7672">
              <w:rPr>
                <w:rFonts w:asciiTheme="minorHAnsi" w:hAnsiTheme="minorHAnsi" w:cstheme="minorHAnsi"/>
                <w:color w:val="000000"/>
                <w:sz w:val="21"/>
                <w:szCs w:val="21"/>
                <w:lang w:eastAsia="en-GB"/>
              </w:rPr>
              <w:t xml:space="preserve">, P., Falk-Petersen, S., Kohler, J., Kovacs, K.M., Reigstad, M., Steen, H., Strøm, H., </w:t>
            </w:r>
            <w:proofErr w:type="spellStart"/>
            <w:r w:rsidRPr="00CA7672">
              <w:rPr>
                <w:rFonts w:asciiTheme="minorHAnsi" w:hAnsiTheme="minorHAnsi" w:cstheme="minorHAnsi"/>
                <w:color w:val="000000"/>
                <w:sz w:val="21"/>
                <w:szCs w:val="21"/>
                <w:lang w:eastAsia="en-GB"/>
              </w:rPr>
              <w:t>Sundfjord</w:t>
            </w:r>
            <w:proofErr w:type="spellEnd"/>
            <w:r w:rsidRPr="00CA7672">
              <w:rPr>
                <w:rFonts w:asciiTheme="minorHAnsi" w:hAnsiTheme="minorHAnsi" w:cstheme="minorHAnsi"/>
                <w:color w:val="000000"/>
                <w:sz w:val="21"/>
                <w:szCs w:val="21"/>
                <w:lang w:eastAsia="en-GB"/>
              </w:rPr>
              <w:t xml:space="preserve">, A., </w:t>
            </w:r>
            <w:proofErr w:type="spellStart"/>
            <w:r w:rsidRPr="00CA7672">
              <w:rPr>
                <w:rFonts w:asciiTheme="minorHAnsi" w:hAnsiTheme="minorHAnsi" w:cstheme="minorHAnsi"/>
                <w:color w:val="000000"/>
                <w:sz w:val="21"/>
                <w:szCs w:val="21"/>
                <w:lang w:eastAsia="en-GB"/>
              </w:rPr>
              <w:t>Varpe</w:t>
            </w:r>
            <w:proofErr w:type="spellEnd"/>
            <w:r w:rsidRPr="00CA7672">
              <w:rPr>
                <w:rFonts w:asciiTheme="minorHAnsi" w:hAnsiTheme="minorHAnsi" w:cstheme="minorHAnsi"/>
                <w:color w:val="000000"/>
                <w:sz w:val="21"/>
                <w:szCs w:val="21"/>
                <w:lang w:eastAsia="en-GB"/>
              </w:rPr>
              <w:t xml:space="preserve">, Ø., </w:t>
            </w:r>
            <w:proofErr w:type="spellStart"/>
            <w:r w:rsidRPr="00CA7672">
              <w:rPr>
                <w:rFonts w:asciiTheme="minorHAnsi" w:hAnsiTheme="minorHAnsi" w:cstheme="minorHAnsi"/>
                <w:color w:val="000000"/>
                <w:sz w:val="21"/>
                <w:szCs w:val="21"/>
                <w:lang w:eastAsia="en-GB"/>
              </w:rPr>
              <w:t>Walczowski</w:t>
            </w:r>
            <w:proofErr w:type="spellEnd"/>
            <w:r w:rsidRPr="00CA7672">
              <w:rPr>
                <w:rFonts w:asciiTheme="minorHAnsi" w:hAnsiTheme="minorHAnsi" w:cstheme="minorHAnsi"/>
                <w:color w:val="000000"/>
                <w:sz w:val="21"/>
                <w:szCs w:val="21"/>
                <w:lang w:eastAsia="en-GB"/>
              </w:rPr>
              <w:t xml:space="preserve">, W., </w:t>
            </w:r>
            <w:proofErr w:type="spellStart"/>
            <w:r w:rsidRPr="00CA7672">
              <w:rPr>
                <w:rFonts w:asciiTheme="minorHAnsi" w:hAnsiTheme="minorHAnsi" w:cstheme="minorHAnsi"/>
                <w:color w:val="000000"/>
                <w:sz w:val="21"/>
                <w:szCs w:val="21"/>
                <w:lang w:eastAsia="en-GB"/>
              </w:rPr>
              <w:t>Weslawski</w:t>
            </w:r>
            <w:proofErr w:type="spellEnd"/>
            <w:r w:rsidRPr="00CA7672">
              <w:rPr>
                <w:rFonts w:asciiTheme="minorHAnsi" w:hAnsiTheme="minorHAnsi" w:cstheme="minorHAnsi"/>
                <w:color w:val="000000"/>
                <w:sz w:val="21"/>
                <w:szCs w:val="21"/>
                <w:lang w:eastAsia="en-GB"/>
              </w:rPr>
              <w:t xml:space="preserve">, J.M. and Zajaczkowski, M. (2014). The importance of tidewater glaciers for marine mammals and seabirds in Svalbard, Norway. Journal of Marine Systems 129 (2014) 452–471. Doi: </w:t>
            </w:r>
            <w:hyperlink r:id="rId17" w:history="1">
              <w:r w:rsidR="00CC4B15" w:rsidRPr="00347591">
                <w:rPr>
                  <w:rStyle w:val="Hyperlink"/>
                  <w:rFonts w:asciiTheme="minorHAnsi" w:hAnsiTheme="minorHAnsi" w:cstheme="minorHAnsi"/>
                  <w:sz w:val="21"/>
                  <w:szCs w:val="21"/>
                  <w:lang w:eastAsia="en-GB"/>
                </w:rPr>
                <w:t>http://dx.doi.org/10.1016/j.jmarsys.2013.09.006</w:t>
              </w:r>
            </w:hyperlink>
            <w:r w:rsidR="00CC4B15">
              <w:rPr>
                <w:rFonts w:asciiTheme="minorHAnsi" w:hAnsiTheme="minorHAnsi" w:cstheme="minorHAnsi"/>
                <w:color w:val="000000"/>
                <w:sz w:val="21"/>
                <w:szCs w:val="21"/>
                <w:lang w:eastAsia="en-GB"/>
              </w:rPr>
              <w:t xml:space="preserve"> </w:t>
            </w:r>
          </w:p>
          <w:p w14:paraId="5BDFB157" w14:textId="14BEE226" w:rsidR="0011217F" w:rsidRPr="00CC4B15" w:rsidRDefault="00645F89" w:rsidP="00645F89">
            <w:pPr>
              <w:tabs>
                <w:tab w:val="clear" w:pos="567"/>
              </w:tabs>
              <w:spacing w:after="150" w:line="240" w:lineRule="auto"/>
              <w:ind w:left="288" w:hanging="288"/>
              <w:jc w:val="left"/>
            </w:pPr>
            <w:r w:rsidRPr="00CA7672">
              <w:rPr>
                <w:rFonts w:asciiTheme="minorHAnsi" w:hAnsiTheme="minorHAnsi" w:cstheme="minorHAnsi"/>
                <w:color w:val="000000"/>
                <w:sz w:val="21"/>
                <w:szCs w:val="21"/>
                <w:lang w:val="nb-NO" w:eastAsia="en-GB"/>
              </w:rPr>
              <w:t xml:space="preserve">Miljeteig, C., Strøm, H., Gavrilo, M., Volkov, A., Jenssen, B.M. and Gabrielsen, G.W. (2009). </w:t>
            </w:r>
            <w:r w:rsidRPr="00CA7672">
              <w:rPr>
                <w:rFonts w:asciiTheme="minorHAnsi" w:hAnsiTheme="minorHAnsi" w:cstheme="minorHAnsi"/>
                <w:color w:val="000000"/>
                <w:sz w:val="21"/>
                <w:szCs w:val="21"/>
                <w:lang w:eastAsia="en-GB"/>
              </w:rPr>
              <w:t xml:space="preserve">High levels of contaminants in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eggs from the Russian and Norwegian Arctic. Environmental Science and Technology 43(14):5521-5528. Doi: </w:t>
            </w:r>
            <w:hyperlink r:id="rId18" w:history="1">
              <w:r w:rsidR="00CC4B15" w:rsidRPr="007D4C27">
                <w:rPr>
                  <w:rStyle w:val="Hyperlink"/>
                  <w:rFonts w:asciiTheme="minorHAnsi" w:hAnsiTheme="minorHAnsi" w:cstheme="minorHAnsi"/>
                  <w:sz w:val="21"/>
                  <w:szCs w:val="21"/>
                  <w:lang w:eastAsia="en-GB"/>
                </w:rPr>
                <w:t>https://doi.org/10.1021/es900490n</w:t>
              </w:r>
            </w:hyperlink>
            <w:r w:rsidR="00CC4B15">
              <w:rPr>
                <w:rFonts w:asciiTheme="minorHAnsi" w:hAnsiTheme="minorHAnsi" w:cstheme="minorHAnsi"/>
                <w:color w:val="000000"/>
                <w:sz w:val="21"/>
                <w:szCs w:val="21"/>
                <w:lang w:eastAsia="en-GB"/>
              </w:rPr>
              <w:t xml:space="preserve"> </w:t>
            </w:r>
          </w:p>
          <w:p w14:paraId="33C73E86" w14:textId="5C338B65"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Miljeteig, C., Gabrielsen, G.W., Strøm, H., Gavrilo, M.V., Lie, E. and Jenssen, B.M. (2012). Eggshell thinning and decreased concentrations of vitamin E are associated with contaminants in eggs of ivory gulls. Science of the Total Environment 431: 92–99. Doi:</w:t>
            </w:r>
            <w:r w:rsidR="0011217F" w:rsidRPr="00CA7672">
              <w:rPr>
                <w:rFonts w:asciiTheme="minorHAnsi" w:hAnsiTheme="minorHAnsi" w:cstheme="minorHAnsi"/>
                <w:color w:val="000000"/>
                <w:sz w:val="21"/>
                <w:szCs w:val="21"/>
                <w:lang w:eastAsia="en-GB"/>
              </w:rPr>
              <w:t xml:space="preserve"> </w:t>
            </w:r>
            <w:hyperlink r:id="rId19" w:history="1">
              <w:r w:rsidR="00CC4B15" w:rsidRPr="007D4C27">
                <w:rPr>
                  <w:rStyle w:val="Hyperlink"/>
                  <w:rFonts w:asciiTheme="minorHAnsi" w:hAnsiTheme="minorHAnsi" w:cstheme="minorHAnsi"/>
                  <w:sz w:val="21"/>
                  <w:szCs w:val="21"/>
                  <w:lang w:eastAsia="en-GB"/>
                </w:rPr>
                <w:t>https://doi.org/10.1016/j.scitotenv.2012.05.018</w:t>
              </w:r>
            </w:hyperlink>
            <w:r w:rsidR="00CC4B15">
              <w:rPr>
                <w:rFonts w:asciiTheme="minorHAnsi" w:hAnsiTheme="minorHAnsi" w:cstheme="minorHAnsi"/>
                <w:color w:val="000000"/>
                <w:sz w:val="21"/>
                <w:szCs w:val="21"/>
                <w:lang w:eastAsia="en-GB"/>
              </w:rPr>
              <w:t xml:space="preserve"> </w:t>
            </w:r>
          </w:p>
          <w:p w14:paraId="7DB6641B" w14:textId="576429A6"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OSPAR Commission (2009). Background Document for Ivory gull </w:t>
            </w:r>
            <w:r w:rsidRPr="00CA7672">
              <w:rPr>
                <w:rFonts w:asciiTheme="minorHAnsi" w:hAnsiTheme="minorHAnsi" w:cstheme="minorHAnsi"/>
                <w:i/>
                <w:iCs/>
                <w:color w:val="000000"/>
                <w:sz w:val="21"/>
                <w:szCs w:val="21"/>
                <w:lang w:eastAsia="en-GB"/>
              </w:rPr>
              <w:t xml:space="preserve">Pagophila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OSPAR Commission, London, Publication 410, pp1-15.</w:t>
            </w:r>
          </w:p>
          <w:p w14:paraId="592B604F" w14:textId="4077959B"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 xml:space="preserve">Spencer, N.C., Gilchrist, H.G. and Mallory, M.L. (2014). Annual movement patterns of endangered ivory gulls: The importance of sea ice. </w:t>
            </w:r>
            <w:proofErr w:type="spellStart"/>
            <w:r w:rsidRPr="00CA7672">
              <w:rPr>
                <w:rFonts w:asciiTheme="minorHAnsi" w:hAnsiTheme="minorHAnsi" w:cstheme="minorHAnsi"/>
                <w:color w:val="000000"/>
                <w:sz w:val="21"/>
                <w:szCs w:val="21"/>
                <w:lang w:eastAsia="en-GB"/>
              </w:rPr>
              <w:t>PLoS</w:t>
            </w:r>
            <w:proofErr w:type="spellEnd"/>
            <w:r w:rsidRPr="00CA7672">
              <w:rPr>
                <w:rFonts w:asciiTheme="minorHAnsi" w:hAnsiTheme="minorHAnsi" w:cstheme="minorHAnsi"/>
                <w:color w:val="000000"/>
                <w:sz w:val="21"/>
                <w:szCs w:val="21"/>
                <w:lang w:eastAsia="en-GB"/>
              </w:rPr>
              <w:t xml:space="preserve"> ONE 9(12): e115231. Doi</w:t>
            </w:r>
            <w:r w:rsidR="0011217F" w:rsidRPr="00CA7672">
              <w:rPr>
                <w:rFonts w:asciiTheme="minorHAnsi" w:hAnsiTheme="minorHAnsi" w:cstheme="minorHAnsi"/>
                <w:color w:val="000000"/>
                <w:sz w:val="21"/>
                <w:szCs w:val="21"/>
                <w:lang w:eastAsia="en-GB"/>
              </w:rPr>
              <w:t xml:space="preserve">: </w:t>
            </w:r>
            <w:r w:rsidR="002F5633" w:rsidRPr="00CA7672">
              <w:rPr>
                <w:rFonts w:asciiTheme="minorHAnsi" w:hAnsiTheme="minorHAnsi" w:cstheme="minorHAnsi"/>
                <w:color w:val="000000"/>
                <w:sz w:val="21"/>
                <w:szCs w:val="21"/>
                <w:lang w:eastAsia="en-GB"/>
              </w:rPr>
              <w:t>https</w:t>
            </w:r>
            <w:r w:rsidRPr="00CA7672">
              <w:rPr>
                <w:rFonts w:asciiTheme="minorHAnsi" w:hAnsiTheme="minorHAnsi" w:cstheme="minorHAnsi"/>
                <w:color w:val="000000"/>
                <w:sz w:val="21"/>
                <w:szCs w:val="21"/>
                <w:lang w:eastAsia="en-GB"/>
              </w:rPr>
              <w:t>:</w:t>
            </w:r>
            <w:r w:rsidR="002F5633" w:rsidRPr="00CA7672">
              <w:rPr>
                <w:rFonts w:asciiTheme="minorHAnsi" w:hAnsiTheme="minorHAnsi" w:cstheme="minorHAnsi"/>
                <w:color w:val="000000"/>
                <w:sz w:val="21"/>
                <w:szCs w:val="21"/>
                <w:lang w:eastAsia="en-GB"/>
              </w:rPr>
              <w:t>//doi.org/</w:t>
            </w:r>
            <w:r w:rsidRPr="00CA7672">
              <w:rPr>
                <w:rFonts w:asciiTheme="minorHAnsi" w:hAnsiTheme="minorHAnsi" w:cstheme="minorHAnsi"/>
                <w:color w:val="000000"/>
                <w:sz w:val="21"/>
                <w:szCs w:val="21"/>
                <w:lang w:eastAsia="en-GB"/>
              </w:rPr>
              <w:t>10.1371/ journal.pone.0115231</w:t>
            </w:r>
            <w:r w:rsidR="00CC4B15">
              <w:rPr>
                <w:rFonts w:asciiTheme="minorHAnsi" w:hAnsiTheme="minorHAnsi" w:cstheme="minorHAnsi"/>
                <w:color w:val="000000"/>
                <w:sz w:val="21"/>
                <w:szCs w:val="21"/>
                <w:lang w:eastAsia="en-GB"/>
              </w:rPr>
              <w:t xml:space="preserve"> </w:t>
            </w:r>
          </w:p>
          <w:p w14:paraId="701AA451" w14:textId="0C8F628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Spencer, N., Gilchrist, H.G., Strøm, H., Allard, K.A. and Mallory, M.L. (2016). Key winter habitat of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the Canadian Arctic. Endangered Species Research 31: 33-45. Doi:</w:t>
            </w:r>
            <w:r w:rsidR="0011217F" w:rsidRPr="00CA7672">
              <w:rPr>
                <w:rFonts w:asciiTheme="minorHAnsi" w:hAnsiTheme="minorHAnsi" w:cstheme="minorHAnsi"/>
                <w:color w:val="000000"/>
                <w:sz w:val="21"/>
                <w:szCs w:val="21"/>
                <w:lang w:eastAsia="en-GB"/>
              </w:rPr>
              <w:t xml:space="preserve"> </w:t>
            </w:r>
            <w:hyperlink r:id="rId20" w:history="1">
              <w:r w:rsidR="00CC4B15" w:rsidRPr="007D4C27">
                <w:rPr>
                  <w:rStyle w:val="Hyperlink"/>
                  <w:rFonts w:asciiTheme="minorHAnsi" w:hAnsiTheme="minorHAnsi" w:cstheme="minorHAnsi"/>
                  <w:sz w:val="21"/>
                  <w:szCs w:val="21"/>
                  <w:lang w:eastAsia="en-GB"/>
                </w:rPr>
                <w:t>https://doi.org/10.3354/esr00747</w:t>
              </w:r>
            </w:hyperlink>
            <w:r w:rsidR="00CC4B15">
              <w:rPr>
                <w:rFonts w:asciiTheme="minorHAnsi" w:hAnsiTheme="minorHAnsi" w:cstheme="minorHAnsi"/>
                <w:color w:val="000000"/>
                <w:sz w:val="21"/>
                <w:szCs w:val="21"/>
                <w:lang w:eastAsia="en-GB"/>
              </w:rPr>
              <w:t xml:space="preserve"> </w:t>
            </w:r>
          </w:p>
          <w:p w14:paraId="491EADAA" w14:textId="73C39DB8"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Strøm, H., Boertmann, D., Gavrilo, M.V., Gilchrist, H.G., Gilg, O., Mallory, M., Mosbech, A. and Yannic, G. (2019). Ivory Gull: Status, Trends and New Knowledge. NOAA Arctic Report Card.</w:t>
            </w:r>
            <w:r w:rsidR="00CC4B15">
              <w:rPr>
                <w:rFonts w:asciiTheme="minorHAnsi" w:hAnsiTheme="minorHAnsi" w:cstheme="minorHAnsi"/>
                <w:color w:val="000000"/>
                <w:sz w:val="21"/>
                <w:szCs w:val="21"/>
                <w:lang w:eastAsia="en-GB"/>
              </w:rPr>
              <w:t xml:space="preserve"> </w:t>
            </w:r>
          </w:p>
          <w:p w14:paraId="38F91E83" w14:textId="1B917B9F"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Strøm, H., Bakken, V., Skoglund, A., Descamps, S., Fjeldheim, V.B. and Steen, H. (2020). </w:t>
            </w:r>
            <w:r w:rsidRPr="00CA7672">
              <w:rPr>
                <w:rFonts w:asciiTheme="minorHAnsi" w:hAnsiTheme="minorHAnsi" w:cstheme="minorHAnsi"/>
                <w:color w:val="000000"/>
                <w:sz w:val="21"/>
                <w:szCs w:val="21"/>
                <w:lang w:eastAsia="en-GB"/>
              </w:rPr>
              <w:t xml:space="preserve">Population status and trend of the threatened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Svalbard. Endangered Species Research 43: 435–445. Doi: </w:t>
            </w:r>
            <w:hyperlink r:id="rId21" w:history="1">
              <w:r w:rsidR="00CC4B15" w:rsidRPr="007D4C27">
                <w:rPr>
                  <w:rStyle w:val="Hyperlink"/>
                  <w:rFonts w:asciiTheme="minorHAnsi" w:hAnsiTheme="minorHAnsi" w:cstheme="minorHAnsi"/>
                  <w:sz w:val="21"/>
                  <w:szCs w:val="21"/>
                  <w:lang w:eastAsia="en-GB"/>
                </w:rPr>
                <w:t>https://doi.org/10.3354/esr01081</w:t>
              </w:r>
            </w:hyperlink>
            <w:r w:rsidR="00CC4B15">
              <w:rPr>
                <w:rFonts w:asciiTheme="minorHAnsi" w:hAnsiTheme="minorHAnsi" w:cstheme="minorHAnsi"/>
                <w:color w:val="000000"/>
                <w:sz w:val="21"/>
                <w:szCs w:val="21"/>
                <w:lang w:eastAsia="en-GB"/>
              </w:rPr>
              <w:t xml:space="preserve"> </w:t>
            </w:r>
          </w:p>
        </w:tc>
      </w:tr>
      <w:tr w:rsidR="00645F89" w:rsidRPr="00CA7672" w14:paraId="338995AB" w14:textId="77777777" w:rsidTr="00F51724">
        <w:trPr>
          <w:trHeight w:val="4740"/>
        </w:trPr>
        <w:tc>
          <w:tcPr>
            <w:tcW w:w="2563" w:type="dxa"/>
            <w:tcMar>
              <w:top w:w="144" w:type="dxa"/>
              <w:left w:w="115" w:type="dxa"/>
              <w:bottom w:w="144" w:type="dxa"/>
              <w:right w:w="115" w:type="dxa"/>
            </w:tcMar>
          </w:tcPr>
          <w:p w14:paraId="4ED6C28F"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Method of assessment</w:t>
            </w:r>
          </w:p>
        </w:tc>
        <w:tc>
          <w:tcPr>
            <w:tcW w:w="7610" w:type="dxa"/>
            <w:tcMar>
              <w:top w:w="144" w:type="dxa"/>
              <w:left w:w="115" w:type="dxa"/>
              <w:bottom w:w="144" w:type="dxa"/>
              <w:right w:w="115" w:type="dxa"/>
            </w:tcMar>
          </w:tcPr>
          <w:p w14:paraId="1FF2BC78"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rPr>
              <w:t>The assessment is based upon information from articles published in peer reviewed scientific journals, field reports, data from the seabird monitoring program SEAPOP (www.seapop.no), MOSJ (Environmental Monitoring of Svalbard and Jan Mayen (www.mosj.no), Norwegian Polar Institute’s seabird databases and the Greenland Seabird Colony Database, maintained by DCE- the Danish Centre for Environment and Energy, Aarhus University, and Greenland Institute of Natural Resources.</w:t>
            </w:r>
          </w:p>
          <w:p w14:paraId="3E351D3D"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p>
          <w:p w14:paraId="16AF783E" w14:textId="77777777"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Main source of information:</w:t>
            </w:r>
          </w:p>
          <w:p w14:paraId="64A49626" w14:textId="77777777" w:rsidR="00645F89" w:rsidRPr="00CA7672" w:rsidRDefault="00645F89" w:rsidP="00645F89">
            <w:pPr>
              <w:numPr>
                <w:ilvl w:val="0"/>
                <w:numId w:val="32"/>
              </w:numPr>
              <w:tabs>
                <w:tab w:val="clear" w:pos="567"/>
              </w:tabs>
              <w:spacing w:before="120" w:after="0" w:line="240" w:lineRule="auto"/>
              <w:contextualSpacing/>
              <w:rPr>
                <w:rFonts w:asciiTheme="minorHAnsi" w:hAnsiTheme="minorHAnsi" w:cstheme="minorHAnsi"/>
                <w:color w:val="000000"/>
                <w:sz w:val="21"/>
                <w:szCs w:val="21"/>
              </w:rPr>
            </w:pPr>
            <w:r w:rsidRPr="00CA7672">
              <w:rPr>
                <w:rFonts w:asciiTheme="minorHAnsi" w:hAnsiTheme="minorHAnsi" w:cstheme="minorHAnsi"/>
                <w:color w:val="000000"/>
                <w:sz w:val="21"/>
                <w:szCs w:val="21"/>
              </w:rPr>
              <w:t>OSPAR data assessment only.</w:t>
            </w:r>
          </w:p>
          <w:p w14:paraId="19210F6A" w14:textId="77777777" w:rsidR="00645F89" w:rsidRPr="00CA7672" w:rsidRDefault="00645F89" w:rsidP="00645F89">
            <w:pPr>
              <w:numPr>
                <w:ilvl w:val="0"/>
                <w:numId w:val="32"/>
              </w:numPr>
              <w:tabs>
                <w:tab w:val="clear" w:pos="567"/>
              </w:tabs>
              <w:spacing w:before="120" w:after="0" w:line="240" w:lineRule="auto"/>
              <w:contextualSpacing/>
              <w:rPr>
                <w:rFonts w:asciiTheme="minorHAnsi" w:hAnsiTheme="minorHAnsi" w:cstheme="minorHAnsi"/>
                <w:color w:val="000000"/>
                <w:sz w:val="21"/>
                <w:szCs w:val="21"/>
              </w:rPr>
            </w:pPr>
            <w:r w:rsidRPr="00CA7672">
              <w:rPr>
                <w:rFonts w:asciiTheme="minorHAnsi" w:hAnsiTheme="minorHAnsi" w:cstheme="minorHAnsi"/>
                <w:color w:val="000000"/>
                <w:sz w:val="21"/>
                <w:szCs w:val="21"/>
              </w:rPr>
              <w:t>Assessment derived from third party assessment.</w:t>
            </w:r>
          </w:p>
          <w:p w14:paraId="245926A8" w14:textId="77777777" w:rsidR="00645F89" w:rsidRPr="00CA7672" w:rsidRDefault="00645F89" w:rsidP="00645F89">
            <w:pPr>
              <w:numPr>
                <w:ilvl w:val="0"/>
                <w:numId w:val="32"/>
              </w:numPr>
              <w:tabs>
                <w:tab w:val="clear" w:pos="567"/>
              </w:tabs>
              <w:spacing w:before="120" w:after="0" w:line="240" w:lineRule="auto"/>
              <w:contextualSpacing/>
              <w:rPr>
                <w:rFonts w:asciiTheme="minorHAnsi" w:hAnsiTheme="minorHAnsi" w:cstheme="minorHAnsi"/>
                <w:color w:val="000000"/>
                <w:sz w:val="21"/>
                <w:szCs w:val="21"/>
              </w:rPr>
            </w:pPr>
            <w:r w:rsidRPr="00CA7672">
              <w:rPr>
                <w:rFonts w:asciiTheme="minorHAnsi" w:hAnsiTheme="minorHAnsi" w:cstheme="minorHAnsi"/>
                <w:color w:val="000000"/>
                <w:sz w:val="21"/>
                <w:szCs w:val="21"/>
              </w:rPr>
              <w:t>Assessment derived from a mix of OSPAR data assessment and assessments from third parties.</w:t>
            </w:r>
          </w:p>
          <w:p w14:paraId="0B2CCA02" w14:textId="77777777" w:rsidR="00645F89" w:rsidRPr="00CA7672" w:rsidRDefault="00645F89" w:rsidP="00645F89">
            <w:pPr>
              <w:tabs>
                <w:tab w:val="clear" w:pos="567"/>
              </w:tabs>
              <w:spacing w:before="120" w:line="240" w:lineRule="auto"/>
              <w:ind w:left="717"/>
              <w:contextualSpacing/>
              <w:rPr>
                <w:rFonts w:asciiTheme="minorHAnsi" w:hAnsiTheme="minorHAnsi" w:cstheme="minorHAnsi"/>
                <w:color w:val="000000"/>
                <w:sz w:val="21"/>
                <w:szCs w:val="21"/>
              </w:rPr>
            </w:pPr>
          </w:p>
          <w:p w14:paraId="504E736F" w14:textId="77777777" w:rsidR="00645F89" w:rsidRPr="00CA7672" w:rsidRDefault="00645F89" w:rsidP="00645F89">
            <w:pPr>
              <w:tabs>
                <w:tab w:val="clear" w:pos="567"/>
              </w:tabs>
              <w:spacing w:before="12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Assessment is based upon:</w:t>
            </w:r>
          </w:p>
          <w:p w14:paraId="6CAF58D1" w14:textId="77777777" w:rsidR="00645F89" w:rsidRPr="00CA7672" w:rsidRDefault="00645F89" w:rsidP="00645F89">
            <w:pPr>
              <w:numPr>
                <w:ilvl w:val="0"/>
                <w:numId w:val="29"/>
              </w:numPr>
              <w:tabs>
                <w:tab w:val="clear" w:pos="567"/>
              </w:tabs>
              <w:spacing w:before="120" w:after="0" w:line="240" w:lineRule="auto"/>
              <w:contextualSpacing/>
              <w:rPr>
                <w:rFonts w:asciiTheme="minorHAnsi" w:hAnsiTheme="minorHAnsi" w:cstheme="minorHAnsi"/>
                <w:color w:val="000000"/>
                <w:sz w:val="21"/>
                <w:szCs w:val="21"/>
              </w:rPr>
            </w:pPr>
            <w:r w:rsidRPr="00CA7672">
              <w:rPr>
                <w:rFonts w:asciiTheme="minorHAnsi" w:hAnsiTheme="minorHAnsi" w:cstheme="minorHAnsi"/>
                <w:color w:val="000000"/>
                <w:sz w:val="21"/>
                <w:szCs w:val="21"/>
              </w:rPr>
              <w:t>complete survey or a statistically robust estimate (e.g. a dedicated mapping or survey or a robust predictive model with representative sample of occurrence data, calibration and satisfactory evaluation of its predictive performance using good data on environmental conditions across entire species range).</w:t>
            </w:r>
          </w:p>
          <w:p w14:paraId="1DEF2E8F" w14:textId="77777777" w:rsidR="00645F89" w:rsidRPr="00CA7672" w:rsidRDefault="00645F89" w:rsidP="00645F89">
            <w:pPr>
              <w:numPr>
                <w:ilvl w:val="0"/>
                <w:numId w:val="29"/>
              </w:numPr>
              <w:tabs>
                <w:tab w:val="clear" w:pos="567"/>
              </w:tabs>
              <w:spacing w:before="120" w:after="0" w:line="240" w:lineRule="auto"/>
              <w:contextualSpacing/>
              <w:rPr>
                <w:rFonts w:asciiTheme="minorHAnsi" w:hAnsiTheme="minorHAnsi" w:cstheme="minorHAnsi"/>
                <w:color w:val="000000"/>
                <w:sz w:val="21"/>
                <w:szCs w:val="21"/>
              </w:rPr>
            </w:pPr>
            <w:r w:rsidRPr="00CA7672">
              <w:rPr>
                <w:rFonts w:asciiTheme="minorHAnsi" w:hAnsiTheme="minorHAnsi" w:cstheme="minorHAnsi"/>
                <w:color w:val="000000"/>
                <w:sz w:val="21"/>
                <w:szCs w:val="21"/>
              </w:rPr>
              <w:t>based mainly on extrapolation from a limited amount of data (e.g. other predictive models or extrapolation using less complete sample of occurrence and environmental data).</w:t>
            </w:r>
          </w:p>
          <w:p w14:paraId="7BD9D553" w14:textId="77777777" w:rsidR="00645F89" w:rsidRPr="00CA7672" w:rsidRDefault="00645F89" w:rsidP="00645F89">
            <w:pPr>
              <w:numPr>
                <w:ilvl w:val="0"/>
                <w:numId w:val="29"/>
              </w:numPr>
              <w:tabs>
                <w:tab w:val="clear" w:pos="567"/>
              </w:tabs>
              <w:spacing w:before="120" w:after="0" w:line="240" w:lineRule="auto"/>
              <w:contextualSpacing/>
              <w:rPr>
                <w:rFonts w:asciiTheme="minorHAnsi" w:hAnsiTheme="minorHAnsi" w:cstheme="minorHAnsi"/>
                <w:color w:val="000000"/>
                <w:sz w:val="21"/>
                <w:szCs w:val="21"/>
              </w:rPr>
            </w:pPr>
            <w:r w:rsidRPr="00CA7672">
              <w:rPr>
                <w:rFonts w:asciiTheme="minorHAnsi" w:hAnsiTheme="minorHAnsi" w:cstheme="minorHAnsi"/>
                <w:color w:val="000000"/>
                <w:sz w:val="21"/>
                <w:szCs w:val="21"/>
              </w:rPr>
              <w:t>based mainly on expert opinion with very limited data.</w:t>
            </w:r>
          </w:p>
          <w:p w14:paraId="6ED9C5E3" w14:textId="77777777" w:rsidR="00645F89" w:rsidRPr="00CA7672" w:rsidRDefault="00645F89" w:rsidP="00645F89">
            <w:pPr>
              <w:numPr>
                <w:ilvl w:val="0"/>
                <w:numId w:val="29"/>
              </w:numPr>
              <w:tabs>
                <w:tab w:val="clear" w:pos="567"/>
              </w:tabs>
              <w:spacing w:before="120" w:after="0" w:line="240" w:lineRule="auto"/>
              <w:contextualSpacing/>
              <w:rPr>
                <w:rFonts w:asciiTheme="minorHAnsi" w:hAnsiTheme="minorHAnsi" w:cstheme="minorHAnsi"/>
                <w:color w:val="000000"/>
                <w:sz w:val="24"/>
              </w:rPr>
            </w:pPr>
            <w:r w:rsidRPr="00CA7672">
              <w:rPr>
                <w:rFonts w:asciiTheme="minorHAnsi" w:hAnsiTheme="minorHAnsi" w:cstheme="minorHAnsi"/>
                <w:color w:val="000000"/>
                <w:sz w:val="21"/>
                <w:szCs w:val="21"/>
              </w:rPr>
              <w:t>insufficient or no data available.</w:t>
            </w:r>
          </w:p>
        </w:tc>
      </w:tr>
      <w:tr w:rsidR="00645F89" w:rsidRPr="00CA7672" w14:paraId="4C1AD8DA" w14:textId="77777777" w:rsidTr="00F51724">
        <w:tc>
          <w:tcPr>
            <w:tcW w:w="2563" w:type="dxa"/>
            <w:tcBorders>
              <w:top w:val="single" w:sz="4" w:space="0" w:color="auto"/>
            </w:tcBorders>
            <w:tcMar>
              <w:top w:w="144" w:type="dxa"/>
              <w:left w:w="115" w:type="dxa"/>
              <w:bottom w:w="144" w:type="dxa"/>
              <w:right w:w="115" w:type="dxa"/>
            </w:tcMar>
            <w:hideMark/>
          </w:tcPr>
          <w:p w14:paraId="403F92DE" w14:textId="77777777" w:rsidR="00645F89" w:rsidRPr="00CA7672" w:rsidRDefault="00645F89" w:rsidP="00645F89">
            <w:pPr>
              <w:tabs>
                <w:tab w:val="clear" w:pos="567"/>
              </w:tabs>
              <w:spacing w:after="0" w:line="240" w:lineRule="auto"/>
              <w:jc w:val="center"/>
              <w:rPr>
                <w:rFonts w:asciiTheme="minorHAnsi" w:hAnsiTheme="minorHAnsi" w:cstheme="minorHAnsi"/>
                <w:b/>
                <w:color w:val="000000"/>
                <w:sz w:val="21"/>
                <w:szCs w:val="21"/>
              </w:rPr>
            </w:pPr>
            <w:r w:rsidRPr="00CA7672">
              <w:rPr>
                <w:rFonts w:asciiTheme="minorHAnsi" w:hAnsiTheme="minorHAnsi" w:cstheme="minorHAnsi"/>
                <w:b/>
                <w:color w:val="000000"/>
                <w:sz w:val="21"/>
                <w:szCs w:val="21"/>
              </w:rPr>
              <w:t>AUDIT TRAIL</w:t>
            </w:r>
          </w:p>
          <w:p w14:paraId="61F22F01" w14:textId="77777777" w:rsidR="00645F89" w:rsidRPr="00CA7672" w:rsidRDefault="00645F89" w:rsidP="00645F89">
            <w:pPr>
              <w:tabs>
                <w:tab w:val="clear" w:pos="567"/>
              </w:tabs>
              <w:spacing w:after="0" w:line="240" w:lineRule="auto"/>
              <w:jc w:val="center"/>
              <w:rPr>
                <w:rFonts w:asciiTheme="minorHAnsi" w:hAnsiTheme="minorHAnsi" w:cstheme="minorHAnsi"/>
                <w:color w:val="000000"/>
                <w:sz w:val="21"/>
                <w:szCs w:val="21"/>
              </w:rPr>
            </w:pPr>
          </w:p>
        </w:tc>
        <w:tc>
          <w:tcPr>
            <w:tcW w:w="7610" w:type="dxa"/>
            <w:tcBorders>
              <w:top w:val="single" w:sz="4" w:space="0" w:color="auto"/>
            </w:tcBorders>
            <w:tcMar>
              <w:top w:w="144" w:type="dxa"/>
              <w:left w:w="115" w:type="dxa"/>
              <w:bottom w:w="144" w:type="dxa"/>
              <w:right w:w="115" w:type="dxa"/>
            </w:tcMar>
          </w:tcPr>
          <w:p w14:paraId="230229D5" w14:textId="77777777" w:rsidR="00645F89" w:rsidRPr="00CA7672" w:rsidRDefault="00645F89" w:rsidP="00645F89">
            <w:pPr>
              <w:tabs>
                <w:tab w:val="clear" w:pos="567"/>
              </w:tabs>
              <w:spacing w:after="0" w:line="240" w:lineRule="auto"/>
              <w:jc w:val="center"/>
              <w:rPr>
                <w:rFonts w:asciiTheme="minorHAnsi" w:hAnsiTheme="minorHAnsi" w:cstheme="minorHAnsi"/>
                <w:b/>
                <w:color w:val="000000"/>
                <w:sz w:val="21"/>
                <w:szCs w:val="21"/>
                <w:lang w:eastAsia="en-GB"/>
              </w:rPr>
            </w:pPr>
            <w:r w:rsidRPr="00CA7672">
              <w:rPr>
                <w:rFonts w:asciiTheme="minorHAnsi" w:hAnsiTheme="minorHAnsi" w:cstheme="minorHAnsi"/>
                <w:b/>
                <w:color w:val="000000"/>
                <w:sz w:val="21"/>
                <w:szCs w:val="21"/>
                <w:lang w:eastAsia="en-GB"/>
              </w:rPr>
              <w:t>Additional Evidence and Information</w:t>
            </w:r>
          </w:p>
          <w:p w14:paraId="250B9C82" w14:textId="77777777" w:rsidR="00645F89" w:rsidRPr="00CA7672" w:rsidRDefault="00645F89" w:rsidP="00645F89">
            <w:pPr>
              <w:tabs>
                <w:tab w:val="clear" w:pos="567"/>
              </w:tabs>
              <w:spacing w:after="0" w:line="240" w:lineRule="auto"/>
              <w:jc w:val="center"/>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Please insert below any relevant additional evidence and information that provides essential background and rationale to the assessments above. Include citations of the sources of evidence and information and provide full references in the relevant section below.</w:t>
            </w:r>
          </w:p>
          <w:p w14:paraId="497FEFAF" w14:textId="77777777" w:rsidR="00645F89" w:rsidRPr="00CA7672" w:rsidRDefault="00645F89" w:rsidP="00645F89">
            <w:pPr>
              <w:tabs>
                <w:tab w:val="clear" w:pos="567"/>
              </w:tabs>
              <w:spacing w:after="0" w:line="240" w:lineRule="auto"/>
              <w:jc w:val="center"/>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The audit trail is not published as part of the assessment. It is archived for future reference purposes. The assessment in the rows above needs to be written so that it can be read without accessing information in the audit trail.</w:t>
            </w:r>
          </w:p>
        </w:tc>
      </w:tr>
      <w:tr w:rsidR="00645F89" w:rsidRPr="00CA7672" w14:paraId="5786CB86" w14:textId="77777777" w:rsidTr="00F51724">
        <w:tc>
          <w:tcPr>
            <w:tcW w:w="2563" w:type="dxa"/>
            <w:tcMar>
              <w:top w:w="144" w:type="dxa"/>
              <w:left w:w="115" w:type="dxa"/>
              <w:bottom w:w="144" w:type="dxa"/>
              <w:right w:w="115" w:type="dxa"/>
            </w:tcMar>
            <w:hideMark/>
          </w:tcPr>
          <w:p w14:paraId="3CFDF997"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Assessment methods</w:t>
            </w:r>
          </w:p>
          <w:p w14:paraId="765CD9E3"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4"/>
              </w:rPr>
            </w:pPr>
            <w:r w:rsidRPr="00CA7672">
              <w:rPr>
                <w:rFonts w:asciiTheme="minorHAnsi" w:hAnsiTheme="minorHAnsi" w:cstheme="minorHAnsi"/>
                <w:color w:val="000000"/>
                <w:sz w:val="21"/>
                <w:szCs w:val="21"/>
                <w:lang w:eastAsia="en-GB"/>
              </w:rPr>
              <w:t xml:space="preserve">(additional information, </w:t>
            </w:r>
            <w:proofErr w:type="gramStart"/>
            <w:r w:rsidRPr="00CA7672">
              <w:rPr>
                <w:rFonts w:asciiTheme="minorHAnsi" w:hAnsiTheme="minorHAnsi" w:cstheme="minorHAnsi"/>
                <w:color w:val="000000"/>
                <w:sz w:val="21"/>
                <w:szCs w:val="21"/>
                <w:lang w:eastAsia="en-GB"/>
              </w:rPr>
              <w:t>in particular how</w:t>
            </w:r>
            <w:proofErr w:type="gramEnd"/>
            <w:r w:rsidRPr="00CA7672">
              <w:rPr>
                <w:rFonts w:asciiTheme="minorHAnsi" w:hAnsiTheme="minorHAnsi" w:cstheme="minorHAnsi"/>
                <w:color w:val="000000"/>
                <w:sz w:val="21"/>
                <w:szCs w:val="21"/>
                <w:lang w:eastAsia="en-GB"/>
              </w:rPr>
              <w:t xml:space="preserve"> the overall assessment in the summary table was reached)</w:t>
            </w:r>
          </w:p>
        </w:tc>
        <w:tc>
          <w:tcPr>
            <w:tcW w:w="7610" w:type="dxa"/>
            <w:tcMar>
              <w:top w:w="144" w:type="dxa"/>
              <w:left w:w="115" w:type="dxa"/>
              <w:bottom w:w="144" w:type="dxa"/>
              <w:right w:w="115" w:type="dxa"/>
            </w:tcMar>
          </w:tcPr>
          <w:p w14:paraId="631FD6F8" w14:textId="704E7964" w:rsidR="00645F89" w:rsidRPr="00CA7672" w:rsidRDefault="00645F89" w:rsidP="00645F89">
            <w:pPr>
              <w:tabs>
                <w:tab w:val="clear" w:pos="567"/>
              </w:tabs>
              <w:spacing w:after="0" w:line="240" w:lineRule="auto"/>
              <w:jc w:val="left"/>
              <w:rPr>
                <w:rFonts w:asciiTheme="minorHAnsi" w:hAnsiTheme="minorHAnsi" w:cstheme="minorHAnsi"/>
                <w:color w:val="000000"/>
                <w:sz w:val="24"/>
              </w:rPr>
            </w:pPr>
            <w:r w:rsidRPr="00CA7672">
              <w:rPr>
                <w:rFonts w:asciiTheme="minorHAnsi" w:hAnsiTheme="minorHAnsi" w:cstheme="minorHAnsi"/>
                <w:color w:val="000000"/>
                <w:sz w:val="21"/>
                <w:szCs w:val="21"/>
                <w:lang w:eastAsia="en-GB"/>
              </w:rPr>
              <w:t xml:space="preserve">Assessment of status was based on an aerial survey carried out in Greenland and Svalbard in 2019. During the survey all known ivory gull colonies were visited and, if occupied, the number of individuals was counted. This corresponds to the number of breeding pairs, assuming that on average one pair member is present at the nest site. The area was also scanned for new colonies, both inland and near the coast. Population trend was assessed by comparing the number of pairs present in colonies that were surveyed in 2009 and 2019, that is 23 and 31 sites for Greenland and Svalbard, respectively. Assessment of threats was based on expert opinion (future predictions) and published research articles, including information from areas outside the OSPAR </w:t>
            </w:r>
            <w:r w:rsidR="00CA7672">
              <w:rPr>
                <w:rFonts w:asciiTheme="minorHAnsi" w:hAnsiTheme="minorHAnsi" w:cstheme="minorHAnsi"/>
                <w:color w:val="000000"/>
                <w:sz w:val="21"/>
                <w:szCs w:val="21"/>
                <w:lang w:eastAsia="en-GB"/>
              </w:rPr>
              <w:t xml:space="preserve">Maritime Area </w:t>
            </w:r>
            <w:r w:rsidRPr="00CA7672">
              <w:rPr>
                <w:rFonts w:asciiTheme="minorHAnsi" w:hAnsiTheme="minorHAnsi" w:cstheme="minorHAnsi"/>
                <w:color w:val="000000"/>
                <w:sz w:val="21"/>
                <w:szCs w:val="21"/>
                <w:lang w:eastAsia="en-GB"/>
              </w:rPr>
              <w:t>and other Arctic seabird species.</w:t>
            </w:r>
            <w:r w:rsidRPr="00CA7672">
              <w:rPr>
                <w:rFonts w:asciiTheme="minorHAnsi" w:hAnsiTheme="minorHAnsi" w:cstheme="minorHAnsi"/>
                <w:color w:val="000000"/>
                <w:sz w:val="24"/>
              </w:rPr>
              <w:t xml:space="preserve"> </w:t>
            </w:r>
          </w:p>
        </w:tc>
      </w:tr>
      <w:tr w:rsidR="00645F89" w:rsidRPr="00CA7672" w14:paraId="3B315081" w14:textId="77777777" w:rsidTr="00F51724">
        <w:tc>
          <w:tcPr>
            <w:tcW w:w="2563" w:type="dxa"/>
            <w:tcMar>
              <w:top w:w="144" w:type="dxa"/>
              <w:bottom w:w="144" w:type="dxa"/>
            </w:tcMar>
            <w:hideMark/>
          </w:tcPr>
          <w:p w14:paraId="693AAEF1"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t>Geographical range and distribution (additional evidence &amp; information)</w:t>
            </w:r>
          </w:p>
        </w:tc>
        <w:tc>
          <w:tcPr>
            <w:tcW w:w="7610" w:type="dxa"/>
            <w:tcMar>
              <w:top w:w="144" w:type="dxa"/>
              <w:left w:w="115" w:type="dxa"/>
              <w:bottom w:w="144" w:type="dxa"/>
              <w:right w:w="115" w:type="dxa"/>
            </w:tcMar>
          </w:tcPr>
          <w:p w14:paraId="0B563689" w14:textId="26E1CF5E"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The ivory gull is a high-Arctic species with a circumpolar distribution that includes areas in Canada, Greenland, Norway (Svalbard) and the Russian Arctic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2019). It is strongly linked with sea ice habitat (Hamilton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2017, Dumas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and breeding colonies are found at high latitudes relatively close to sea ice. Ivory gulls prefer to breed in snow-free places where they are protected from predators. They often breed inland on steep cliffs or nunataks, as much as 30 km from the shore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Ivory gulls are also found on islands near the coast, on gravel-covered glacier banks, and occasionally on shore-fast sea-ice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or moving ice floes (Nachtsheim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 Within the OSPAR area, ivory gull colonies are situated in the western islands of Franz Josef Land (Bakken and </w:t>
            </w:r>
            <w:proofErr w:type="spellStart"/>
            <w:r w:rsidRPr="00CA7672">
              <w:rPr>
                <w:rFonts w:asciiTheme="minorHAnsi" w:hAnsiTheme="minorHAnsi" w:cstheme="minorHAnsi"/>
                <w:color w:val="000000"/>
                <w:sz w:val="21"/>
                <w:szCs w:val="21"/>
                <w:lang w:eastAsia="en-GB"/>
              </w:rPr>
              <w:t>Tertiski</w:t>
            </w:r>
            <w:proofErr w:type="spellEnd"/>
            <w:r w:rsidRPr="00CA7672">
              <w:rPr>
                <w:rFonts w:asciiTheme="minorHAnsi" w:hAnsiTheme="minorHAnsi" w:cstheme="minorHAnsi"/>
                <w:color w:val="000000"/>
                <w:sz w:val="21"/>
                <w:szCs w:val="21"/>
                <w:lang w:eastAsia="en-GB"/>
              </w:rPr>
              <w:t xml:space="preserve"> 2000) and two areas in Greenland: one area in the northeast bordering the Northeast Water Polynya and one area in the southeast between Scoresby Sund and </w:t>
            </w:r>
            <w:proofErr w:type="spellStart"/>
            <w:r w:rsidRPr="00CA7672">
              <w:rPr>
                <w:rFonts w:asciiTheme="minorHAnsi" w:hAnsiTheme="minorHAnsi" w:cstheme="minorHAnsi"/>
                <w:color w:val="000000"/>
                <w:sz w:val="21"/>
                <w:szCs w:val="21"/>
                <w:lang w:eastAsia="en-GB"/>
              </w:rPr>
              <w:t>Tasiilaq</w:t>
            </w:r>
            <w:proofErr w:type="spellEnd"/>
            <w:r w:rsidRPr="00CA7672">
              <w:rPr>
                <w:rFonts w:asciiTheme="minorHAnsi" w:hAnsiTheme="minorHAnsi" w:cstheme="minorHAnsi"/>
                <w:color w:val="000000"/>
                <w:sz w:val="21"/>
                <w:szCs w:val="21"/>
                <w:lang w:eastAsia="en-GB"/>
              </w:rPr>
              <w:t xml:space="preserve">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2020a). In Svalbard, breeding colonies are found in the following areas: South, Central, Northwest and Northeast Spitsbergen, </w:t>
            </w:r>
            <w:proofErr w:type="spellStart"/>
            <w:r w:rsidRPr="00CA7672">
              <w:rPr>
                <w:rFonts w:asciiTheme="minorHAnsi" w:hAnsiTheme="minorHAnsi" w:cstheme="minorHAnsi"/>
                <w:color w:val="000000"/>
                <w:sz w:val="21"/>
                <w:szCs w:val="21"/>
                <w:lang w:eastAsia="en-GB"/>
              </w:rPr>
              <w:t>Nordaustlandet</w:t>
            </w:r>
            <w:proofErr w:type="spellEnd"/>
            <w:r w:rsidRPr="00CA7672">
              <w:rPr>
                <w:rFonts w:asciiTheme="minorHAnsi" w:hAnsiTheme="minorHAnsi" w:cstheme="minorHAnsi"/>
                <w:color w:val="000000"/>
                <w:sz w:val="21"/>
                <w:szCs w:val="21"/>
                <w:lang w:eastAsia="en-GB"/>
              </w:rPr>
              <w:t xml:space="preserve">, Kong Karls Land and </w:t>
            </w:r>
            <w:proofErr w:type="spellStart"/>
            <w:r w:rsidRPr="00CA7672">
              <w:rPr>
                <w:rFonts w:asciiTheme="minorHAnsi" w:hAnsiTheme="minorHAnsi" w:cstheme="minorHAnsi"/>
                <w:color w:val="000000"/>
                <w:sz w:val="21"/>
                <w:szCs w:val="21"/>
                <w:lang w:eastAsia="en-GB"/>
              </w:rPr>
              <w:t>Barentsøya</w:t>
            </w:r>
            <w:proofErr w:type="spellEnd"/>
            <w:r w:rsidRPr="00CA7672">
              <w:rPr>
                <w:rFonts w:asciiTheme="minorHAnsi" w:hAnsiTheme="minorHAnsi" w:cstheme="minorHAnsi"/>
                <w:color w:val="000000"/>
                <w:sz w:val="21"/>
                <w:szCs w:val="21"/>
                <w:lang w:eastAsia="en-GB"/>
              </w:rPr>
              <w:t xml:space="preserve">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Fig</w:t>
            </w:r>
            <w:r w:rsidR="00395F20" w:rsidRPr="00CA7672">
              <w:rPr>
                <w:rFonts w:asciiTheme="minorHAnsi" w:hAnsiTheme="minorHAnsi" w:cstheme="minorHAnsi"/>
                <w:color w:val="000000"/>
                <w:sz w:val="21"/>
                <w:szCs w:val="21"/>
                <w:lang w:eastAsia="en-GB"/>
              </w:rPr>
              <w:t>ure</w:t>
            </w:r>
            <w:r w:rsidR="0011217F" w:rsidRPr="00CA7672">
              <w:rPr>
                <w:rFonts w:asciiTheme="minorHAnsi" w:hAnsiTheme="minorHAnsi" w:cstheme="minorHAnsi"/>
                <w:color w:val="000000"/>
                <w:sz w:val="21"/>
                <w:szCs w:val="21"/>
                <w:lang w:eastAsia="en-GB"/>
              </w:rPr>
              <w:t> </w:t>
            </w:r>
            <w:r w:rsidRPr="00CA7672">
              <w:rPr>
                <w:rFonts w:asciiTheme="minorHAnsi" w:hAnsiTheme="minorHAnsi" w:cstheme="minorHAnsi"/>
                <w:color w:val="000000"/>
                <w:sz w:val="21"/>
                <w:szCs w:val="21"/>
                <w:lang w:eastAsia="en-GB"/>
              </w:rPr>
              <w:t>1).</w:t>
            </w:r>
          </w:p>
          <w:p w14:paraId="0576D73A"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3B2B7B0D" w14:textId="5D29BD1E"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Although the ivory gull shows natal philopatry (Mallory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2012) and specific sites are used regularly, ivory gulls may change breeding locations, such that established colonies disappear and new colonies are found in previously unoccupied locations (e.g. Wright and Matthews 1980, France and Sharp 1992). Variation in colony occupation was also observed in Canada (Robertson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2007) and Severnaya Zemlya in the Russian Arctic (Volkov and de Korte 1996). At any one time, there are likely to be </w:t>
            </w:r>
            <w:proofErr w:type="gramStart"/>
            <w:r w:rsidRPr="00CA7672">
              <w:rPr>
                <w:rFonts w:asciiTheme="minorHAnsi" w:hAnsiTheme="minorHAnsi" w:cstheme="minorHAnsi"/>
                <w:color w:val="000000"/>
                <w:sz w:val="21"/>
                <w:szCs w:val="21"/>
                <w:lang w:eastAsia="en-GB"/>
              </w:rPr>
              <w:t>a number of</w:t>
            </w:r>
            <w:proofErr w:type="gramEnd"/>
            <w:r w:rsidRPr="00CA7672">
              <w:rPr>
                <w:rFonts w:asciiTheme="minorHAnsi" w:hAnsiTheme="minorHAnsi" w:cstheme="minorHAnsi"/>
                <w:color w:val="000000"/>
                <w:sz w:val="21"/>
                <w:szCs w:val="21"/>
                <w:lang w:eastAsia="en-GB"/>
              </w:rPr>
              <w:t xml:space="preserve"> ivory gull colonies that are undiscovered. Therefore, surveys may give an incomplete picture of the total breeding population. Based on these colony dynamics (Robertson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2007) and the observation of non-synchronous inter-annual variation in the number of breeding pairs in different colonies,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concluded that there is considerable movement of adult ivory gulls between colonies. </w:t>
            </w:r>
          </w:p>
          <w:p w14:paraId="0E1C774B"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75193C5A" w14:textId="7FB46039"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Post-breeding movements of Greenland, Svalbard and Russian ivory gulls are documented in a satellite tracking study by Gilg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The results of this study showed that Ivory gulls leave the breeding colonies and disperse eastward in August - September to an area north of Svalbard and Franz Josef Land (80-85°N). This area, which extends from the Fram Strait to the Laptev Sea (off Severnaya Zemlya), is used as a staging area before autumn migration. In October – November, most ivory gulls return along the same flyway (loop migration), before moving south off the East coast of Greenland. While some ivory gulls spend the winter off the coast of Southeast Greenland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most birds continue round Cape Farewell, reaching the </w:t>
            </w:r>
            <w:r w:rsidRPr="00CA7672">
              <w:rPr>
                <w:rFonts w:asciiTheme="minorHAnsi" w:hAnsiTheme="minorHAnsi" w:cstheme="minorHAnsi"/>
                <w:color w:val="000000"/>
                <w:sz w:val="21"/>
                <w:szCs w:val="21"/>
                <w:lang w:eastAsia="en-GB"/>
              </w:rPr>
              <w:lastRenderedPageBreak/>
              <w:t xml:space="preserve">sea ice-edge in the Labrador Sea and Davis Strait in December. Here the OSPAR ivory gulls spend the winter together with conspecifics from Canada (Spencer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 It should be </w:t>
            </w:r>
            <w:proofErr w:type="gramStart"/>
            <w:r w:rsidRPr="00CA7672">
              <w:rPr>
                <w:rFonts w:asciiTheme="minorHAnsi" w:hAnsiTheme="minorHAnsi" w:cstheme="minorHAnsi"/>
                <w:color w:val="000000"/>
                <w:sz w:val="21"/>
                <w:szCs w:val="21"/>
                <w:lang w:eastAsia="en-GB"/>
              </w:rPr>
              <w:t>noted</w:t>
            </w:r>
            <w:proofErr w:type="gramEnd"/>
            <w:r w:rsidRPr="00CA7672">
              <w:rPr>
                <w:rFonts w:asciiTheme="minorHAnsi" w:hAnsiTheme="minorHAnsi" w:cstheme="minorHAnsi"/>
                <w:color w:val="000000"/>
                <w:sz w:val="21"/>
                <w:szCs w:val="21"/>
                <w:lang w:eastAsia="en-GB"/>
              </w:rPr>
              <w:t xml:space="preserve"> however, that some birds migrate in opposite </w:t>
            </w:r>
            <w:proofErr w:type="gramStart"/>
            <w:r w:rsidRPr="00CA7672">
              <w:rPr>
                <w:rFonts w:asciiTheme="minorHAnsi" w:hAnsiTheme="minorHAnsi" w:cstheme="minorHAnsi"/>
                <w:color w:val="000000"/>
                <w:sz w:val="21"/>
                <w:szCs w:val="21"/>
                <w:lang w:eastAsia="en-GB"/>
              </w:rPr>
              <w:t>direction</w:t>
            </w:r>
            <w:proofErr w:type="gramEnd"/>
            <w:r w:rsidRPr="00CA7672">
              <w:rPr>
                <w:rFonts w:asciiTheme="minorHAnsi" w:hAnsiTheme="minorHAnsi" w:cstheme="minorHAnsi"/>
                <w:color w:val="000000"/>
                <w:sz w:val="21"/>
                <w:szCs w:val="21"/>
                <w:lang w:eastAsia="en-GB"/>
              </w:rPr>
              <w:t>: they move further eastward from the autumn staging area to winter in the Bering Strait region (</w:t>
            </w:r>
            <w:r w:rsidRPr="00CA7672">
              <w:rPr>
                <w:rFonts w:asciiTheme="minorHAnsi" w:hAnsiTheme="minorHAnsi" w:cstheme="minorHAnsi"/>
                <w:i/>
                <w:iCs/>
                <w:color w:val="000000"/>
                <w:sz w:val="21"/>
                <w:szCs w:val="21"/>
                <w:lang w:eastAsia="en-GB"/>
              </w:rPr>
              <w:t>i.e.</w:t>
            </w:r>
            <w:r w:rsidRPr="00CA7672">
              <w:rPr>
                <w:rFonts w:asciiTheme="minorHAnsi" w:hAnsiTheme="minorHAnsi" w:cstheme="minorHAnsi"/>
                <w:color w:val="000000"/>
                <w:sz w:val="21"/>
                <w:szCs w:val="21"/>
                <w:lang w:eastAsia="en-GB"/>
              </w:rPr>
              <w:t xml:space="preserve"> bi-directional migration pattern). Spring migration is less well studied, but it tends to be shorter (Spencer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2014) and may include crossing the Greenland icecap (Frederiksen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2021). </w:t>
            </w:r>
          </w:p>
          <w:p w14:paraId="642D4D2B"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38F649DB" w14:textId="310D204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Conservation genetic studies (Royston and Carr 2014, Yannic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2016, Charbonnel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have shown large-scale genetic homogeneity. This indicates that ivory gulls belong to a single-Arctic-wide metapopulation most likely with massive movements of individuals between colonies. There is no genetic evidence that the ivory gull population has suffered a bottleneck across its circumpolar breeding range. It should be noted, however, that population genetic methods can only discover a bottleneck that occurred in the past. They cannot discover a recent and ongoing decline. There are two factors that can explain why such a bottleneck was not observed: 1) The ivory gull has life-history features (</w:t>
            </w:r>
            <w:r w:rsidRPr="00CA7672">
              <w:rPr>
                <w:rFonts w:asciiTheme="minorHAnsi" w:hAnsiTheme="minorHAnsi" w:cstheme="minorHAnsi"/>
                <w:i/>
                <w:iCs/>
                <w:color w:val="000000"/>
                <w:sz w:val="21"/>
                <w:szCs w:val="21"/>
                <w:lang w:eastAsia="en-GB"/>
              </w:rPr>
              <w:t xml:space="preserve">i.e. </w:t>
            </w:r>
            <w:r w:rsidRPr="00CA7672">
              <w:rPr>
                <w:rFonts w:asciiTheme="minorHAnsi" w:hAnsiTheme="minorHAnsi" w:cstheme="minorHAnsi"/>
                <w:color w:val="000000"/>
                <w:sz w:val="21"/>
                <w:szCs w:val="21"/>
                <w:lang w:eastAsia="en-GB"/>
              </w:rPr>
              <w:t xml:space="preserve">long generation time and generation overlap) that may cause a lowered and delayed genetic response to a population decline. 2) A genetic bottleneck may be masked by regional differences in demographic trends, with large stable(?) colonies in Russia having a strong impact on maintaining worldwide genetic diversity. </w:t>
            </w:r>
          </w:p>
          <w:p w14:paraId="5B7C2B3A"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459333A6" w14:textId="3C9B3B72" w:rsidR="00645F89" w:rsidRPr="00CA7672" w:rsidRDefault="00645F89" w:rsidP="00645F89">
            <w:pPr>
              <w:tabs>
                <w:tab w:val="clear" w:pos="567"/>
              </w:tabs>
              <w:spacing w:after="0" w:line="240" w:lineRule="auto"/>
              <w:jc w:val="left"/>
              <w:rPr>
                <w:rFonts w:asciiTheme="minorHAnsi" w:hAnsiTheme="minorHAnsi" w:cstheme="minorHAnsi"/>
                <w:color w:val="000000"/>
                <w:sz w:val="24"/>
              </w:rPr>
            </w:pPr>
            <w:r w:rsidRPr="00CA7672">
              <w:rPr>
                <w:rFonts w:asciiTheme="minorHAnsi" w:hAnsiTheme="minorHAnsi" w:cstheme="minorHAnsi"/>
                <w:color w:val="000000"/>
                <w:sz w:val="21"/>
                <w:szCs w:val="21"/>
                <w:lang w:eastAsia="en-GB"/>
              </w:rPr>
              <w:t>Ivory gulls spend 45% of their time in areas close (</w:t>
            </w:r>
            <w:r w:rsidRPr="00CA7672">
              <w:rPr>
                <w:rFonts w:asciiTheme="minorHAnsi" w:hAnsiTheme="minorHAnsi" w:cstheme="minorHAnsi"/>
                <w:i/>
                <w:iCs/>
                <w:color w:val="000000"/>
                <w:sz w:val="21"/>
                <w:szCs w:val="21"/>
                <w:lang w:eastAsia="en-GB"/>
              </w:rPr>
              <w:t>i.e.</w:t>
            </w:r>
            <w:r w:rsidRPr="00CA7672">
              <w:rPr>
                <w:rFonts w:asciiTheme="minorHAnsi" w:hAnsiTheme="minorHAnsi" w:cstheme="minorHAnsi"/>
                <w:color w:val="000000"/>
                <w:sz w:val="21"/>
                <w:szCs w:val="21"/>
                <w:lang w:eastAsia="en-GB"/>
              </w:rPr>
              <w:t xml:space="preserve"> within 45 km) to the ice-edge and 80% of their time in areas with highly concentrated sea ice, especially in summer (Gilg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 This close association with sea-ice is also clear during migration. Ivory gulls show great plasticity in migration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xml:space="preserve">, selecting routes and time schedules that offer the best sea-ice conditions and the best foraging opportunities (Spencer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2014). Ivory gulls are also critically threatened by the loss of suitable winter habitat,</w:t>
            </w:r>
            <w:r w:rsidRPr="00CA7672">
              <w:rPr>
                <w:rFonts w:asciiTheme="minorHAnsi" w:hAnsiTheme="minorHAnsi" w:cstheme="minorHAnsi"/>
                <w:i/>
                <w:iCs/>
                <w:color w:val="000000"/>
                <w:sz w:val="21"/>
                <w:szCs w:val="21"/>
                <w:lang w:eastAsia="en-GB"/>
              </w:rPr>
              <w:t xml:space="preserve"> i.e. </w:t>
            </w:r>
            <w:r w:rsidRPr="00CA7672">
              <w:rPr>
                <w:rFonts w:asciiTheme="minorHAnsi" w:hAnsiTheme="minorHAnsi" w:cstheme="minorHAnsi"/>
                <w:color w:val="000000"/>
                <w:sz w:val="21"/>
                <w:szCs w:val="21"/>
                <w:lang w:eastAsia="en-GB"/>
              </w:rPr>
              <w:t xml:space="preserve">habitat that combines appropriate sea ice conditions and sufficient daylight for foraging. Indeed, comparing satellite studies with previous data from ringing studies and observational work, </w:t>
            </w:r>
            <w:proofErr w:type="gramStart"/>
            <w:r w:rsidRPr="00CA7672">
              <w:rPr>
                <w:rFonts w:asciiTheme="minorHAnsi" w:hAnsiTheme="minorHAnsi" w:cstheme="minorHAnsi"/>
                <w:color w:val="000000"/>
                <w:sz w:val="21"/>
                <w:szCs w:val="21"/>
                <w:lang w:eastAsia="en-GB"/>
              </w:rPr>
              <w:t>it can be seen that migratory</w:t>
            </w:r>
            <w:proofErr w:type="gramEnd"/>
            <w:r w:rsidRPr="00CA7672">
              <w:rPr>
                <w:rFonts w:asciiTheme="minorHAnsi" w:hAnsiTheme="minorHAnsi" w:cstheme="minorHAnsi"/>
                <w:color w:val="000000"/>
                <w:sz w:val="21"/>
                <w:szCs w:val="21"/>
                <w:lang w:eastAsia="en-GB"/>
              </w:rPr>
              <w:t xml:space="preserve"> movements and wintering areas of ivory gulls from Seymour Island (Canada) have shifted in response to retreating sea ice (Stenhouse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2004,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2012, Spencer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2014). Due to the lack of daylight at the ice edge, the global ivory gull population is extremely vulnerable to the loss of sea-ice habitat, and their distribution and migration routes are likely to change and become less optimal with continued global warming. </w:t>
            </w:r>
          </w:p>
        </w:tc>
      </w:tr>
      <w:tr w:rsidR="00645F89" w:rsidRPr="00CA7672" w14:paraId="029AD205" w14:textId="77777777" w:rsidTr="00F51724">
        <w:tc>
          <w:tcPr>
            <w:tcW w:w="2563" w:type="dxa"/>
            <w:tcMar>
              <w:top w:w="144" w:type="dxa"/>
              <w:bottom w:w="144" w:type="dxa"/>
            </w:tcMar>
            <w:hideMark/>
          </w:tcPr>
          <w:p w14:paraId="6DEA3F99" w14:textId="77777777" w:rsidR="00645F89" w:rsidRPr="00CA7672" w:rsidRDefault="00645F89" w:rsidP="00645F89">
            <w:pPr>
              <w:tabs>
                <w:tab w:val="clear" w:pos="567"/>
              </w:tabs>
              <w:spacing w:after="0" w:line="240" w:lineRule="auto"/>
              <w:rPr>
                <w:rFonts w:asciiTheme="minorHAnsi" w:hAnsiTheme="minorHAnsi" w:cstheme="minorHAnsi"/>
                <w:color w:val="000000"/>
                <w:sz w:val="24"/>
              </w:rPr>
            </w:pPr>
            <w:r w:rsidRPr="00CA7672">
              <w:rPr>
                <w:rFonts w:asciiTheme="minorHAnsi" w:hAnsiTheme="minorHAnsi" w:cstheme="minorHAnsi"/>
                <w:color w:val="000000"/>
                <w:sz w:val="21"/>
                <w:szCs w:val="21"/>
              </w:rPr>
              <w:lastRenderedPageBreak/>
              <w:t>Population/abundance (additional evidence &amp; information)</w:t>
            </w:r>
          </w:p>
        </w:tc>
        <w:tc>
          <w:tcPr>
            <w:tcW w:w="7610" w:type="dxa"/>
            <w:tcMar>
              <w:top w:w="144" w:type="dxa"/>
              <w:left w:w="115" w:type="dxa"/>
              <w:bottom w:w="144" w:type="dxa"/>
              <w:right w:w="115" w:type="dxa"/>
            </w:tcMar>
          </w:tcPr>
          <w:p w14:paraId="4E96CF83" w14:textId="49F4D4EC"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At the time of OSPAR listing, the global ivory gull population was estimated at 6325 – 11500 breeding pairs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Approximately 86% of the ivory population occurred in colonies in Arctic Russia, while few occurred in colonies in northern Canada. Best estimates for Svalbard (Strøm &amp; Gavrilo unpublished) and North and East Greenland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were 350 - 500 and 2000 pairs, respectively. Since there are also some ivory gull pairs in the western islands of Franz Josef Land that fall just within </w:t>
            </w:r>
            <w:r w:rsidR="0010028B" w:rsidRPr="00CA7672">
              <w:rPr>
                <w:rFonts w:asciiTheme="minorHAnsi" w:hAnsiTheme="minorHAnsi" w:cstheme="minorHAnsi"/>
                <w:color w:val="000000"/>
                <w:sz w:val="21"/>
                <w:szCs w:val="21"/>
                <w:lang w:eastAsia="en-GB"/>
              </w:rPr>
              <w:t xml:space="preserve">Region </w:t>
            </w:r>
            <w:r w:rsidRPr="00CA7672">
              <w:rPr>
                <w:rFonts w:asciiTheme="minorHAnsi" w:hAnsiTheme="minorHAnsi" w:cstheme="minorHAnsi"/>
                <w:color w:val="000000"/>
                <w:sz w:val="21"/>
                <w:szCs w:val="21"/>
                <w:lang w:eastAsia="en-GB"/>
              </w:rPr>
              <w:t>I (</w:t>
            </w:r>
            <w:proofErr w:type="spellStart"/>
            <w:r w:rsidRPr="00CA7672">
              <w:rPr>
                <w:rFonts w:asciiTheme="minorHAnsi" w:hAnsiTheme="minorHAnsi" w:cstheme="minorHAnsi"/>
                <w:color w:val="000000"/>
                <w:sz w:val="21"/>
                <w:szCs w:val="21"/>
                <w:lang w:eastAsia="en-GB"/>
              </w:rPr>
              <w:t>Tomkovich</w:t>
            </w:r>
            <w:proofErr w:type="spellEnd"/>
            <w:r w:rsidRPr="00CA7672">
              <w:rPr>
                <w:rFonts w:asciiTheme="minorHAnsi" w:hAnsiTheme="minorHAnsi" w:cstheme="minorHAnsi"/>
                <w:color w:val="000000"/>
                <w:sz w:val="21"/>
                <w:szCs w:val="21"/>
                <w:lang w:eastAsia="en-GB"/>
              </w:rPr>
              <w:t xml:space="preserve"> 1986 as cited by Volkov and de Korte 1996), the overall abundance for the OSPAR </w:t>
            </w:r>
            <w:r w:rsidR="00CA7672">
              <w:rPr>
                <w:rFonts w:asciiTheme="minorHAnsi" w:hAnsiTheme="minorHAnsi" w:cstheme="minorHAnsi"/>
                <w:color w:val="000000"/>
                <w:sz w:val="21"/>
                <w:szCs w:val="21"/>
                <w:lang w:eastAsia="en-GB"/>
              </w:rPr>
              <w:t xml:space="preserve">Maritime Area </w:t>
            </w:r>
            <w:r w:rsidRPr="00CA7672">
              <w:rPr>
                <w:rFonts w:asciiTheme="minorHAnsi" w:hAnsiTheme="minorHAnsi" w:cstheme="minorHAnsi"/>
                <w:color w:val="000000"/>
                <w:sz w:val="21"/>
                <w:szCs w:val="21"/>
                <w:lang w:eastAsia="en-GB"/>
              </w:rPr>
              <w:t xml:space="preserve">was estimated to 2000-3000 breeding pairs (OSPAR Commission 2009). </w:t>
            </w:r>
          </w:p>
          <w:p w14:paraId="0AA3A30B"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42B2974A" w14:textId="28F78F00"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Estimating ivory gull population size is challenging, because colonies are situated in remote high-Arctic areas, sometimes far inland, where they are hard to find. Moreover, colonies are not used each year and new colonies may be formed in </w:t>
            </w:r>
            <w:r w:rsidRPr="00CA7672">
              <w:rPr>
                <w:rFonts w:asciiTheme="minorHAnsi" w:hAnsiTheme="minorHAnsi" w:cstheme="minorHAnsi"/>
                <w:color w:val="000000"/>
                <w:sz w:val="21"/>
                <w:szCs w:val="21"/>
                <w:lang w:eastAsia="en-GB"/>
              </w:rPr>
              <w:lastRenderedPageBreak/>
              <w:t>previously unknown locations. However, at the time of OSPAR listing, there was sufficient evidence to indicate a declining worldwide population. This decline was most noticeable in Canada, where breeding numbers have gone down by 70-80% since the 1980’s (</w:t>
            </w:r>
            <w:proofErr w:type="spellStart"/>
            <w:r w:rsidRPr="00CA7672">
              <w:rPr>
                <w:rFonts w:asciiTheme="minorHAnsi" w:hAnsiTheme="minorHAnsi" w:cstheme="minorHAnsi"/>
                <w:color w:val="000000"/>
                <w:sz w:val="21"/>
                <w:szCs w:val="21"/>
                <w:lang w:eastAsia="en-GB"/>
              </w:rPr>
              <w:t>Krajick</w:t>
            </w:r>
            <w:proofErr w:type="spellEnd"/>
            <w:r w:rsidRPr="00CA7672">
              <w:rPr>
                <w:rFonts w:asciiTheme="minorHAnsi" w:hAnsiTheme="minorHAnsi" w:cstheme="minorHAnsi"/>
                <w:color w:val="000000"/>
                <w:sz w:val="21"/>
                <w:szCs w:val="21"/>
                <w:lang w:eastAsia="en-GB"/>
              </w:rPr>
              <w:t xml:space="preserve"> 2003, Gilchrist and Mallory 2005, COSEWIC 2006, Robertson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2007, </w:t>
            </w:r>
            <w:proofErr w:type="spellStart"/>
            <w:r w:rsidRPr="00CA7672">
              <w:rPr>
                <w:rFonts w:asciiTheme="minorHAnsi" w:hAnsiTheme="minorHAnsi" w:cstheme="minorHAnsi"/>
                <w:color w:val="000000"/>
                <w:sz w:val="21"/>
                <w:szCs w:val="21"/>
                <w:lang w:eastAsia="en-GB"/>
              </w:rPr>
              <w:t>Gastron</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2012). Population declines in Canada have been confirmed by local Inuit knowledge and counts at sea (Mallory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2003, </w:t>
            </w:r>
            <w:proofErr w:type="spellStart"/>
            <w:r w:rsidRPr="00CA7672">
              <w:rPr>
                <w:rFonts w:asciiTheme="minorHAnsi" w:hAnsiTheme="minorHAnsi" w:cstheme="minorHAnsi"/>
                <w:color w:val="000000"/>
                <w:sz w:val="21"/>
                <w:szCs w:val="21"/>
                <w:lang w:eastAsia="en-GB"/>
              </w:rPr>
              <w:t>Chardine</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2004, </w:t>
            </w:r>
            <w:proofErr w:type="spellStart"/>
            <w:r w:rsidRPr="00CA7672">
              <w:rPr>
                <w:rFonts w:asciiTheme="minorHAnsi" w:hAnsiTheme="minorHAnsi" w:cstheme="minorHAnsi"/>
                <w:color w:val="000000"/>
                <w:sz w:val="21"/>
                <w:szCs w:val="21"/>
                <w:lang w:eastAsia="en-GB"/>
              </w:rPr>
              <w:t>Joiris</w:t>
            </w:r>
            <w:proofErr w:type="spellEnd"/>
            <w:r w:rsidRPr="00CA7672">
              <w:rPr>
                <w:rFonts w:asciiTheme="minorHAnsi" w:hAnsiTheme="minorHAnsi" w:cstheme="minorHAnsi"/>
                <w:color w:val="000000"/>
                <w:sz w:val="21"/>
                <w:szCs w:val="21"/>
                <w:lang w:eastAsia="en-GB"/>
              </w:rPr>
              <w:t xml:space="preserve"> 2017). Surveys conducted in the Russian Arctic from 2006-2008 and incidental observations from colonies in subsequent years inferred stable populations in some key ivory gull colonies and no signs of an overall decline (Gavrilo and Martynova 2017, as cited by Strøm</w:t>
            </w:r>
            <w:r w:rsidRPr="00CA7672">
              <w:rPr>
                <w:rFonts w:asciiTheme="minorHAnsi" w:hAnsiTheme="minorHAnsi" w:cstheme="minorHAnsi"/>
                <w:i/>
                <w:iCs/>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2019). Until 2008, the population trend in Greenland and Svalbard was largely unknown due to limited historical data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2008). Sparse and fragmented data did not indicate major changes in population numbers in Greenland. The species seemed to be declining in the south of its Greenland breeding range, while in North Greenland the trends were unclear, calling for increased monitoring efforts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In Svalbard, the population was thought to decline (Bakken &amp; </w:t>
            </w:r>
            <w:proofErr w:type="spellStart"/>
            <w:r w:rsidRPr="00CA7672">
              <w:rPr>
                <w:rFonts w:asciiTheme="minorHAnsi" w:hAnsiTheme="minorHAnsi" w:cstheme="minorHAnsi"/>
                <w:color w:val="000000"/>
                <w:sz w:val="21"/>
                <w:szCs w:val="21"/>
                <w:lang w:eastAsia="en-GB"/>
              </w:rPr>
              <w:t>Tertiski</w:t>
            </w:r>
            <w:proofErr w:type="spellEnd"/>
            <w:r w:rsidRPr="00CA7672">
              <w:rPr>
                <w:rFonts w:asciiTheme="minorHAnsi" w:hAnsiTheme="minorHAnsi" w:cstheme="minorHAnsi"/>
                <w:color w:val="000000"/>
                <w:sz w:val="21"/>
                <w:szCs w:val="21"/>
                <w:lang w:eastAsia="en-GB"/>
              </w:rPr>
              <w:t xml:space="preserve"> 2000). Surveys in 2006-2007 confirmed that few of the known colonies were still being used. The colonies that still existed supported fewer birds and, although new colonies were found, the total population number was smaller than previously estimated (Gavrilo and Strøm, unpublished).</w:t>
            </w:r>
          </w:p>
          <w:p w14:paraId="5862D7DC"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 </w:t>
            </w:r>
          </w:p>
          <w:p w14:paraId="62FFF4ED"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Since OSPAR listing of the ivory gull, new population surveys have been carried out. A large effort was made in 2019 when an international, coordinated population survey was conducted. All four nations supporting the global ivory gull population took part. This survey, which used aircraft, was initiated by the Circumpolar Seabird Group (</w:t>
            </w:r>
            <w:proofErr w:type="spellStart"/>
            <w:r w:rsidRPr="00CA7672">
              <w:rPr>
                <w:rFonts w:asciiTheme="minorHAnsi" w:hAnsiTheme="minorHAnsi" w:cstheme="minorHAnsi"/>
                <w:color w:val="000000"/>
                <w:sz w:val="21"/>
                <w:szCs w:val="21"/>
                <w:lang w:eastAsia="en-GB"/>
              </w:rPr>
              <w:t>CBird</w:t>
            </w:r>
            <w:proofErr w:type="spellEnd"/>
            <w:r w:rsidRPr="00CA7672">
              <w:rPr>
                <w:rFonts w:asciiTheme="minorHAnsi" w:hAnsiTheme="minorHAnsi" w:cstheme="minorHAnsi"/>
                <w:color w:val="000000"/>
                <w:sz w:val="21"/>
                <w:szCs w:val="21"/>
                <w:lang w:eastAsia="en-GB"/>
              </w:rPr>
              <w:t>) of the Arctic Council’s Conservation of Arctic Flora and Fauna (CAFF) Working Group.</w:t>
            </w:r>
          </w:p>
          <w:p w14:paraId="1064186B"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6B097F0F" w14:textId="75D25EDB"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Visiting a total of 45 previously known and new colony sites along the coast of North and East Greenland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2020a), this survey identified 2028 ivory gulls in 25 occupied colonies (Boertmann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2019). Considering that there will always be some undiscovered colonies, the overall population in Greenland was estimated at 2000 -2500 breeding pairs. The results were compared with a survey carried out in 2009 covering roughly the same areas (Boertmann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Boertmann and Nielsen 2010). Comparing the counts at 23 sites surveyed both in 2009 and 2019, no change in population status could be detected (Boertmann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2020b). It should be noted, however, that the estimated population trend will be negatively biased, because only sites that were already known were re-surveyed, (</w:t>
            </w:r>
            <w:r w:rsidRPr="00CA7672">
              <w:rPr>
                <w:rFonts w:asciiTheme="minorHAnsi" w:hAnsiTheme="minorHAnsi" w:cstheme="minorHAnsi"/>
                <w:i/>
                <w:iCs/>
                <w:color w:val="000000"/>
                <w:sz w:val="21"/>
                <w:szCs w:val="21"/>
                <w:lang w:eastAsia="en-GB"/>
              </w:rPr>
              <w:t>i.e.</w:t>
            </w:r>
            <w:r w:rsidRPr="00CA7672">
              <w:rPr>
                <w:rFonts w:asciiTheme="minorHAnsi" w:hAnsiTheme="minorHAnsi" w:cstheme="minorHAnsi"/>
                <w:color w:val="000000"/>
                <w:sz w:val="21"/>
                <w:szCs w:val="21"/>
                <w:lang w:eastAsia="en-GB"/>
              </w:rPr>
              <w:t xml:space="preserve"> colonies newly discovered in 2019 were not included).</w:t>
            </w:r>
          </w:p>
          <w:p w14:paraId="665C5982"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7FE2C230" w14:textId="5578018D"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In Svalbard, ivory gull surveys have been conducted since 2006, with the most complete survey being carried out in 2019. In the 2019 survey a total of 78 previously known and new colony sites were visited, identifying 1119 ivory gulls in 55 occupied colonies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2021). Based on this survey and considering the above-mentioned limitations, the Svalbard breeding population was estimated to be between 1500 and 2000 breeding pairs in 2019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From 2009 onwards 31 known breeding sites were monitored annually. This revealed a 40% decline in the ivory gull breeding population in Svalbard from 2009 to 2019 (Strøm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Descamps and Strøm, 2021), with no sign of recovery.  </w:t>
            </w:r>
          </w:p>
          <w:p w14:paraId="3940B635" w14:textId="77777777" w:rsidR="00645F89" w:rsidRPr="00CA7672" w:rsidRDefault="00645F89" w:rsidP="00645F89">
            <w:pPr>
              <w:tabs>
                <w:tab w:val="clear" w:pos="567"/>
              </w:tabs>
              <w:spacing w:after="0" w:line="259" w:lineRule="auto"/>
              <w:jc w:val="left"/>
              <w:rPr>
                <w:rFonts w:asciiTheme="minorHAnsi" w:hAnsiTheme="minorHAnsi" w:cstheme="minorHAnsi"/>
                <w:color w:val="000000"/>
                <w:sz w:val="21"/>
                <w:szCs w:val="21"/>
                <w:lang w:eastAsia="en-GB"/>
              </w:rPr>
            </w:pPr>
          </w:p>
        </w:tc>
      </w:tr>
      <w:tr w:rsidR="00645F89" w:rsidRPr="00CA7672" w14:paraId="0D844201" w14:textId="77777777" w:rsidTr="00F51724">
        <w:tc>
          <w:tcPr>
            <w:tcW w:w="2563" w:type="dxa"/>
            <w:tcMar>
              <w:top w:w="144" w:type="dxa"/>
              <w:left w:w="115" w:type="dxa"/>
              <w:bottom w:w="144" w:type="dxa"/>
              <w:right w:w="115" w:type="dxa"/>
            </w:tcMar>
            <w:hideMark/>
          </w:tcPr>
          <w:p w14:paraId="0877B73A"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 xml:space="preserve">Condition </w:t>
            </w:r>
          </w:p>
          <w:p w14:paraId="73BCE265" w14:textId="77777777" w:rsidR="00645F89" w:rsidRPr="00CA7672" w:rsidRDefault="00645F89" w:rsidP="00645F89">
            <w:pPr>
              <w:tabs>
                <w:tab w:val="clear" w:pos="567"/>
              </w:tabs>
              <w:spacing w:after="0" w:line="240" w:lineRule="auto"/>
              <w:rPr>
                <w:rFonts w:asciiTheme="minorHAnsi" w:hAnsiTheme="minorHAnsi" w:cstheme="minorHAnsi"/>
                <w:color w:val="000000"/>
                <w:sz w:val="21"/>
                <w:szCs w:val="21"/>
              </w:rPr>
            </w:pPr>
            <w:r w:rsidRPr="00CA7672">
              <w:rPr>
                <w:rFonts w:asciiTheme="minorHAnsi" w:hAnsiTheme="minorHAnsi" w:cstheme="minorHAnsi"/>
                <w:color w:val="000000"/>
                <w:sz w:val="21"/>
                <w:szCs w:val="21"/>
              </w:rPr>
              <w:t>(additional evidence &amp; information)</w:t>
            </w:r>
          </w:p>
        </w:tc>
        <w:tc>
          <w:tcPr>
            <w:tcW w:w="7610" w:type="dxa"/>
            <w:tcMar>
              <w:top w:w="144" w:type="dxa"/>
              <w:left w:w="115" w:type="dxa"/>
              <w:bottom w:w="144" w:type="dxa"/>
              <w:right w:w="115" w:type="dxa"/>
            </w:tcMar>
          </w:tcPr>
          <w:p w14:paraId="3046219D" w14:textId="77E0561C"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lang w:eastAsia="en-GB"/>
              </w:rPr>
              <w:t xml:space="preserve">Ivory </w:t>
            </w:r>
            <w:proofErr w:type="gramStart"/>
            <w:r w:rsidRPr="00CA7672">
              <w:rPr>
                <w:rFonts w:asciiTheme="minorHAnsi" w:hAnsiTheme="minorHAnsi" w:cstheme="minorHAnsi"/>
                <w:color w:val="000000"/>
                <w:sz w:val="21"/>
                <w:szCs w:val="21"/>
                <w:lang w:eastAsia="en-GB"/>
              </w:rPr>
              <w:t>gulls</w:t>
            </w:r>
            <w:proofErr w:type="gramEnd"/>
            <w:r w:rsidRPr="00CA7672">
              <w:rPr>
                <w:rFonts w:asciiTheme="minorHAnsi" w:hAnsiTheme="minorHAnsi" w:cstheme="minorHAnsi"/>
                <w:color w:val="000000"/>
                <w:sz w:val="21"/>
                <w:szCs w:val="21"/>
                <w:lang w:eastAsia="en-GB"/>
              </w:rPr>
              <w:t xml:space="preserve"> nest in inaccessible high Arctic locations. Therefore, virtually no information is available on annual reproductive success. Yannic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(2014) described the effect of heavy rain and strong winds on two ivory gull colonies, namely Amdrup Land in July 2009 and Station Nord in July 2011. On both occasions, all breeding birds abandoned their eggs or chicks. Juvenile mortality was close to 100%. These observations show that harsh conditions in the high Arctic may affect ivory gull breeding success. Extreme weather events may become more common with climate change, a factor that may need to be considered when assessing condition criteria.</w:t>
            </w:r>
            <w:r w:rsidRPr="00CA7672">
              <w:rPr>
                <w:rFonts w:asciiTheme="minorHAnsi" w:hAnsiTheme="minorHAnsi" w:cstheme="minorHAnsi"/>
                <w:color w:val="000000"/>
                <w:sz w:val="21"/>
                <w:szCs w:val="21"/>
              </w:rPr>
              <w:t xml:space="preserve"> </w:t>
            </w:r>
          </w:p>
        </w:tc>
      </w:tr>
      <w:tr w:rsidR="00645F89" w:rsidRPr="00CA7672" w14:paraId="46890579" w14:textId="77777777" w:rsidTr="00F51724">
        <w:tc>
          <w:tcPr>
            <w:tcW w:w="2563" w:type="dxa"/>
            <w:tcMar>
              <w:top w:w="144" w:type="dxa"/>
              <w:left w:w="115" w:type="dxa"/>
              <w:bottom w:w="144" w:type="dxa"/>
              <w:right w:w="115" w:type="dxa"/>
            </w:tcMar>
            <w:hideMark/>
          </w:tcPr>
          <w:p w14:paraId="25E4DC28"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t>Threats and impacts</w:t>
            </w:r>
          </w:p>
          <w:p w14:paraId="57DEC26C"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4"/>
              </w:rPr>
            </w:pPr>
            <w:r w:rsidRPr="00CA7672">
              <w:rPr>
                <w:rFonts w:asciiTheme="minorHAnsi" w:hAnsiTheme="minorHAnsi" w:cstheme="minorHAnsi"/>
                <w:color w:val="000000"/>
                <w:sz w:val="21"/>
                <w:szCs w:val="21"/>
              </w:rPr>
              <w:t>(additional evidence &amp; information)</w:t>
            </w:r>
          </w:p>
        </w:tc>
        <w:tc>
          <w:tcPr>
            <w:tcW w:w="7610" w:type="dxa"/>
            <w:tcMar>
              <w:top w:w="144" w:type="dxa"/>
              <w:left w:w="115" w:type="dxa"/>
              <w:bottom w:w="144" w:type="dxa"/>
              <w:right w:w="115" w:type="dxa"/>
            </w:tcMar>
          </w:tcPr>
          <w:p w14:paraId="17D5858C" w14:textId="177CDA4B"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Climate change and habitat loss</w:t>
            </w:r>
            <w:r w:rsidRPr="00CA7672">
              <w:rPr>
                <w:rFonts w:asciiTheme="minorHAnsi" w:hAnsiTheme="minorHAnsi" w:cstheme="minorHAnsi"/>
                <w:color w:val="000000"/>
                <w:sz w:val="21"/>
                <w:szCs w:val="21"/>
                <w:lang w:eastAsia="en-GB"/>
              </w:rPr>
              <w:t xml:space="preserve"> - The Arctic is warming at a rate more than twice the global average (IPCC 2021, Rantanen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resulting in a rapid and pronounced sea ice decline (Serreze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2007, Stroeve and Notz 2018. Meredith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2019). In the past few decades, the proportion of multi-year ice has decreased by as much as 40% (Kwok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Throughout the Arctic, the summer position of the marginal ice zone (MIZ) has been documented to shift northward. The MIZ moved from over the continental shelf to the deep Arctic Ocean Basin and the Arctic is expected to be seasonally ice-free as early as 2030’s (Wang and Overland 2012). The Norske Øer Ice Barrier, an extensive region of perennially fast sea ice in Northeast Greenland, has broken up more frequently in recent years. Drift ice is still present in the summer, as it is carried from the Polar Basin over the Northeast Greenland Shelf by the South going East Greenland Current. However, without a persistent core of multi-year fast sea ice, the ice dynamics have changed dramatically (Sneed and Hamilton 2016). Changes in ice-regime have profound effects on Arctic wildlife and ecosystems (Post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2013, Descamps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2017, Macias-Fauria and Post 2018). This is particularly true for </w:t>
            </w:r>
            <w:proofErr w:type="spellStart"/>
            <w:r w:rsidRPr="00CA7672">
              <w:rPr>
                <w:rFonts w:asciiTheme="minorHAnsi" w:hAnsiTheme="minorHAnsi" w:cstheme="minorHAnsi"/>
                <w:color w:val="000000"/>
                <w:sz w:val="21"/>
                <w:szCs w:val="21"/>
                <w:lang w:eastAsia="en-GB"/>
              </w:rPr>
              <w:t>pagophilic</w:t>
            </w:r>
            <w:proofErr w:type="spellEnd"/>
            <w:r w:rsidRPr="00CA7672">
              <w:rPr>
                <w:rFonts w:asciiTheme="minorHAnsi" w:hAnsiTheme="minorHAnsi" w:cstheme="minorHAnsi"/>
                <w:color w:val="000000"/>
                <w:sz w:val="21"/>
                <w:szCs w:val="21"/>
                <w:lang w:eastAsia="en-GB"/>
              </w:rPr>
              <w:t xml:space="preserve"> species like the ivory gull that heavily depend on sea ice throughout the year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w:t>
            </w:r>
          </w:p>
          <w:p w14:paraId="75711D4E" w14:textId="7871B97A"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GPS tracking of ivory gulls in northeast Greenland showed a dual foraging strategy (Dumas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Birds alternated short and long foraging trips in response to the energetic cost of rearing chicks (Dumas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2022). During long trips, ivory gulls flew on average 140 km (43 hours) to reach the pack ice and marginal ice zone. As areas with high-concentration patches of sea ice move further northward ivory gulls are forced to make longer foraging trips. Increasing time and energy associated with movement between colonies and foraging areas may have fitness consequences in terms of lower chick feeding rates (Welcker</w:t>
            </w:r>
            <w:r w:rsidRPr="00CA7672">
              <w:rPr>
                <w:rFonts w:asciiTheme="minorHAnsi" w:hAnsiTheme="minorHAnsi" w:cstheme="minorHAnsi"/>
                <w:i/>
                <w:iCs/>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2009) and reduced adult and/or offspring survival (</w:t>
            </w:r>
            <w:proofErr w:type="spellStart"/>
            <w:r w:rsidRPr="00CA7672">
              <w:rPr>
                <w:rFonts w:asciiTheme="minorHAnsi" w:hAnsiTheme="minorHAnsi" w:cstheme="minorHAnsi"/>
                <w:color w:val="000000"/>
                <w:sz w:val="21"/>
                <w:szCs w:val="21"/>
                <w:lang w:eastAsia="en-GB"/>
              </w:rPr>
              <w:t>Kidawa</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2015, </w:t>
            </w:r>
            <w:proofErr w:type="spellStart"/>
            <w:r w:rsidRPr="00CA7672">
              <w:rPr>
                <w:rFonts w:asciiTheme="minorHAnsi" w:hAnsiTheme="minorHAnsi" w:cstheme="minorHAnsi"/>
                <w:color w:val="000000"/>
                <w:sz w:val="21"/>
                <w:szCs w:val="21"/>
                <w:lang w:eastAsia="en-GB"/>
              </w:rPr>
              <w:t>Kitaysky</w:t>
            </w:r>
            <w:proofErr w:type="spellEnd"/>
            <w:r w:rsidRPr="00CA7672">
              <w:rPr>
                <w:rFonts w:asciiTheme="minorHAnsi" w:hAnsiTheme="minorHAnsi" w:cstheme="minorHAnsi"/>
                <w:color w:val="000000"/>
                <w:sz w:val="21"/>
                <w:szCs w:val="21"/>
                <w:lang w:eastAsia="en-GB"/>
              </w:rPr>
              <w:t xml:space="preserve"> and Hunt 2018). This has likely contributed to the decline observed in ivory gull colonies in south-east Greenland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and Svalbard (Strøm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2019). Although sea ice remains the most attractive foraging area for ivory gulls, birds may explore alternative foraging strategies (</w:t>
            </w:r>
            <w:proofErr w:type="spellStart"/>
            <w:r w:rsidRPr="00CA7672">
              <w:rPr>
                <w:rFonts w:asciiTheme="minorHAnsi" w:hAnsiTheme="minorHAnsi" w:cstheme="minorHAnsi"/>
                <w:color w:val="000000"/>
                <w:sz w:val="21"/>
                <w:szCs w:val="21"/>
                <w:lang w:eastAsia="en-GB"/>
              </w:rPr>
              <w:t>Grémillet</w:t>
            </w:r>
            <w:proofErr w:type="spellEnd"/>
            <w:r w:rsidRPr="00CA7672">
              <w:rPr>
                <w:rFonts w:asciiTheme="minorHAnsi" w:hAnsiTheme="minorHAnsi" w:cstheme="minorHAnsi"/>
                <w:color w:val="000000"/>
                <w:sz w:val="21"/>
                <w:szCs w:val="21"/>
                <w:lang w:eastAsia="en-GB"/>
              </w:rPr>
              <w:t xml:space="preserve">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2015). Upwelling of nutrient-rich freshwater masses from marine-terminating glaciers amplifies estuarine circulation, thereby forcing zooplankton from a wide area to move up towards the surface, where it is killed via cold and osmotic shock. This creates a foraging hotspot for seabirds, including ivory gulls (Renaud and McLaren 1992, Lydersen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2014, Dumas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2022)). Highly productive glacier runoffs, and new feeding opportunities due to the opening of cracks in previously dense, multiyear sea ice, may delay the impact of climate change to some extent (Descamps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2017, Descamps &amp; Ramírez 2020, Dumas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However, this would only be a temporary delay. When sea ice becomes less </w:t>
            </w:r>
            <w:r w:rsidRPr="00CA7672">
              <w:rPr>
                <w:rFonts w:asciiTheme="minorHAnsi" w:hAnsiTheme="minorHAnsi" w:cstheme="minorHAnsi"/>
                <w:color w:val="000000"/>
                <w:sz w:val="21"/>
                <w:szCs w:val="21"/>
                <w:lang w:eastAsia="en-GB"/>
              </w:rPr>
              <w:lastRenderedPageBreak/>
              <w:t xml:space="preserve">dense and glaciers melt so far back that they terminate on land, the marine food source disappears. Thus, the ivory gull remains extremely vulnerable. </w:t>
            </w:r>
          </w:p>
          <w:p w14:paraId="0F7E2430" w14:textId="54C71BBA" w:rsidR="00645F89" w:rsidRPr="00CA7672" w:rsidRDefault="00645F89" w:rsidP="00645F89">
            <w:pPr>
              <w:tabs>
                <w:tab w:val="clear" w:pos="567"/>
              </w:tabs>
              <w:spacing w:before="120"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One of the main threats of early break-up and large-scale reduction of sea ice cover is that it can alter seasonal plankton dynamics (</w:t>
            </w:r>
            <w:proofErr w:type="spellStart"/>
            <w:r w:rsidRPr="00CA7672">
              <w:rPr>
                <w:rFonts w:asciiTheme="minorHAnsi" w:hAnsiTheme="minorHAnsi" w:cstheme="minorHAnsi"/>
                <w:color w:val="000000"/>
                <w:sz w:val="21"/>
                <w:szCs w:val="21"/>
                <w:lang w:eastAsia="en-GB"/>
              </w:rPr>
              <w:t>Assmy</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2023) and the abundance of species higher up in the food chain, e.g. amphipods, copepods and polar cod, which are important prey species for ivory gulls. The breeding season for ivory gulls is extremely short, and it remains to be seen if the species exhibits the phenotypic plasticity necessary to adjust their breeding to temporal changes in food supply. A phenotypic mismatch between seasonal variation in food availability and nutritional needs associated with reproduction (Durant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2007,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2012) has been shown to negatively impact Arctic seabirds (</w:t>
            </w:r>
            <w:proofErr w:type="spellStart"/>
            <w:r w:rsidRPr="00CA7672">
              <w:rPr>
                <w:rFonts w:asciiTheme="minorHAnsi" w:hAnsiTheme="minorHAnsi" w:cstheme="minorHAnsi"/>
                <w:color w:val="000000"/>
                <w:sz w:val="21"/>
                <w:szCs w:val="21"/>
                <w:lang w:eastAsia="en-GB"/>
              </w:rPr>
              <w:t>Laidre</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Moe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Régnier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2024), although little is known about </w:t>
            </w:r>
            <w:proofErr w:type="spellStart"/>
            <w:r w:rsidRPr="00CA7672">
              <w:rPr>
                <w:rFonts w:asciiTheme="minorHAnsi" w:hAnsiTheme="minorHAnsi" w:cstheme="minorHAnsi"/>
                <w:color w:val="000000"/>
                <w:sz w:val="21"/>
                <w:szCs w:val="21"/>
                <w:lang w:eastAsia="en-GB"/>
              </w:rPr>
              <w:t>pagophilic</w:t>
            </w:r>
            <w:proofErr w:type="spellEnd"/>
            <w:r w:rsidRPr="00CA7672">
              <w:rPr>
                <w:rFonts w:asciiTheme="minorHAnsi" w:hAnsiTheme="minorHAnsi" w:cstheme="minorHAnsi"/>
                <w:color w:val="000000"/>
                <w:sz w:val="21"/>
                <w:szCs w:val="21"/>
                <w:lang w:eastAsia="en-GB"/>
              </w:rPr>
              <w:t xml:space="preserve"> species.</w:t>
            </w:r>
          </w:p>
          <w:p w14:paraId="753EF9CF" w14:textId="685C517E"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Descamps and Ramírez (2020) found that, while summer sea ice disappearance plays a role in Arctic seabird population trajectories, it is not the only driver of change. Demographic changes may also happen during the non-breeding season. The decline in the Canadian breeding population of ivory gulls is hypothesized to have been the result of pollution and excessive hunting, but ecological changes during migration and winter may also have played a role (Gilchrist and Mallory 2005,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Ivory gulls from Svalbard and Greenland use the same wintering area as birds from Canada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Spencer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2014, 2016). Thus, it is likely that they are influenced by the same factors operating in the common wintering area (Patterson</w:t>
            </w:r>
            <w:r w:rsidRPr="00CA7672">
              <w:rPr>
                <w:rFonts w:asciiTheme="minorHAnsi" w:hAnsiTheme="minorHAnsi" w:cstheme="minorHAnsi"/>
                <w:i/>
                <w:iCs/>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2021). With changing sea ice conditions and a northwards contraction of the winter sea ice edge, ivory gulls breeding in the OSPAR area would have to fly longer distances to reach traditional wintering areas in the Davis Strait and Labrador Sea. Ivory gulls are energy-efficient flyers (Frederiksen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2021) and could possibly fly a few hundred </w:t>
            </w:r>
            <w:proofErr w:type="spellStart"/>
            <w:r w:rsidRPr="00CA7672">
              <w:rPr>
                <w:rFonts w:asciiTheme="minorHAnsi" w:hAnsiTheme="minorHAnsi" w:cstheme="minorHAnsi"/>
                <w:color w:val="000000"/>
                <w:sz w:val="21"/>
                <w:szCs w:val="21"/>
                <w:lang w:eastAsia="en-GB"/>
              </w:rPr>
              <w:t>kilometres</w:t>
            </w:r>
            <w:proofErr w:type="spellEnd"/>
            <w:r w:rsidRPr="00CA7672">
              <w:rPr>
                <w:rFonts w:asciiTheme="minorHAnsi" w:hAnsiTheme="minorHAnsi" w:cstheme="minorHAnsi"/>
                <w:color w:val="000000"/>
                <w:sz w:val="21"/>
                <w:szCs w:val="21"/>
                <w:lang w:eastAsia="en-GB"/>
              </w:rPr>
              <w:t xml:space="preserve"> extra. However, with the changing sea-ice dynamics, the quality of the winter habitat is deteriorating, and this is problematic as good winter foraging areas with sufficient daylight disappear. With an increasingly ice-free Arctic Ocean, seabirds currently migrating in the North Atlantic could shift to a transarctic migration route and spend the winter in the North Pacific (</w:t>
            </w:r>
            <w:proofErr w:type="spellStart"/>
            <w:r w:rsidRPr="00CA7672">
              <w:rPr>
                <w:rFonts w:asciiTheme="minorHAnsi" w:hAnsiTheme="minorHAnsi" w:cstheme="minorHAnsi"/>
                <w:color w:val="000000"/>
                <w:sz w:val="21"/>
                <w:szCs w:val="21"/>
                <w:lang w:eastAsia="en-GB"/>
              </w:rPr>
              <w:t>Clairbaux</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2019), as suggested for kittiwakes (</w:t>
            </w:r>
            <w:proofErr w:type="spellStart"/>
            <w:r w:rsidRPr="00CA7672">
              <w:rPr>
                <w:rFonts w:asciiTheme="minorHAnsi" w:hAnsiTheme="minorHAnsi" w:cstheme="minorHAnsi"/>
                <w:color w:val="000000"/>
                <w:sz w:val="21"/>
                <w:szCs w:val="21"/>
                <w:lang w:eastAsia="en-GB"/>
              </w:rPr>
              <w:t>Ezhov</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2021). Such a change in migration strategy could be relevant for ivory gulls, as they already exhibit a bi-directional migration pattern (Gilg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2010). What is more, currently all known wintering areas of ivory gulls are located along the ice edge in areas South of the Arctic circle. This implies that visually foraging ivory gulls not only depend on sea ice, but also on daylight. When the ice shifts further northward there will be no suitable winter habitat left. This is extremely worrying for the species. </w:t>
            </w:r>
          </w:p>
          <w:p w14:paraId="0C027922" w14:textId="009606C6"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The rate of climate warming is increasing and is predicted to continue well into the current century. Therefore, the loss of sea ice habitat remains an extremely serious threat for the future of the ivory gull in the OSPAR </w:t>
            </w:r>
            <w:r w:rsidR="00CA7672">
              <w:rPr>
                <w:rFonts w:asciiTheme="minorHAnsi" w:hAnsiTheme="minorHAnsi" w:cstheme="minorHAnsi"/>
                <w:color w:val="000000"/>
                <w:sz w:val="21"/>
                <w:szCs w:val="21"/>
                <w:lang w:eastAsia="en-GB"/>
              </w:rPr>
              <w:t>Maritime Area</w:t>
            </w:r>
            <w:r w:rsidRPr="00CA7672">
              <w:rPr>
                <w:rFonts w:asciiTheme="minorHAnsi" w:hAnsiTheme="minorHAnsi" w:cstheme="minorHAnsi"/>
                <w:color w:val="000000"/>
                <w:sz w:val="21"/>
                <w:szCs w:val="21"/>
                <w:lang w:eastAsia="en-GB"/>
              </w:rPr>
              <w:t>, affecting the species throughout its annual cycle.</w:t>
            </w:r>
          </w:p>
          <w:p w14:paraId="55EDB570" w14:textId="082302FF"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 xml:space="preserve">Environmental pollution </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Besides hovering and contact dipping in open leads in ice-filled waters catching small fish (</w:t>
            </w:r>
            <w:proofErr w:type="spellStart"/>
            <w:r w:rsidRPr="00CA7672">
              <w:rPr>
                <w:rFonts w:asciiTheme="minorHAnsi" w:hAnsiTheme="minorHAnsi" w:cstheme="minorHAnsi"/>
                <w:color w:val="000000"/>
                <w:sz w:val="21"/>
                <w:szCs w:val="21"/>
                <w:lang w:eastAsia="en-GB"/>
              </w:rPr>
              <w:t>Karnovsky</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2009) and macro-zooplankton, ivory gulls also scavenge extensively on remains of marine mammals (e.g. whale blubber, </w:t>
            </w:r>
            <w:proofErr w:type="spellStart"/>
            <w:r w:rsidRPr="00CA7672">
              <w:rPr>
                <w:rFonts w:asciiTheme="minorHAnsi" w:hAnsiTheme="minorHAnsi" w:cstheme="minorHAnsi"/>
                <w:color w:val="000000"/>
                <w:sz w:val="21"/>
                <w:szCs w:val="21"/>
                <w:lang w:eastAsia="en-GB"/>
              </w:rPr>
              <w:t>faeces</w:t>
            </w:r>
            <w:proofErr w:type="spellEnd"/>
            <w:r w:rsidRPr="00CA7672">
              <w:rPr>
                <w:rFonts w:asciiTheme="minorHAnsi" w:hAnsiTheme="minorHAnsi" w:cstheme="minorHAnsi"/>
                <w:color w:val="000000"/>
                <w:sz w:val="21"/>
                <w:szCs w:val="21"/>
                <w:lang w:eastAsia="en-GB"/>
              </w:rPr>
              <w:t xml:space="preserve">, placentae and leftovers from polar bear kills, Bakken and </w:t>
            </w:r>
            <w:proofErr w:type="spellStart"/>
            <w:r w:rsidRPr="00CA7672">
              <w:rPr>
                <w:rFonts w:asciiTheme="minorHAnsi" w:hAnsiTheme="minorHAnsi" w:cstheme="minorHAnsi"/>
                <w:color w:val="000000"/>
                <w:sz w:val="21"/>
                <w:szCs w:val="21"/>
                <w:lang w:eastAsia="en-GB"/>
              </w:rPr>
              <w:t>Tertitski</w:t>
            </w:r>
            <w:proofErr w:type="spellEnd"/>
            <w:r w:rsidRPr="00CA7672">
              <w:rPr>
                <w:rFonts w:asciiTheme="minorHAnsi" w:hAnsiTheme="minorHAnsi" w:cstheme="minorHAnsi"/>
                <w:color w:val="000000"/>
                <w:sz w:val="21"/>
                <w:szCs w:val="21"/>
                <w:lang w:eastAsia="en-GB"/>
              </w:rPr>
              <w:t xml:space="preserve"> 2000). Due to its high trophic position, the ivory gull is exposed to high levels of environmental </w:t>
            </w:r>
            <w:r w:rsidRPr="00CA7672">
              <w:rPr>
                <w:rFonts w:asciiTheme="minorHAnsi" w:hAnsiTheme="minorHAnsi" w:cstheme="minorHAnsi"/>
                <w:color w:val="000000"/>
                <w:sz w:val="21"/>
                <w:szCs w:val="21"/>
                <w:lang w:eastAsia="en-GB"/>
              </w:rPr>
              <w:lastRenderedPageBreak/>
              <w:t xml:space="preserve">contaminants that bioaccumulate in the Arctic marine food web. At the time of OSPAR listing, high concentrations of organochlorines (OC), brominated flame retardants (BFR) and mercury (Hg) had been found in tissue (Fisk et al. 2001, </w:t>
            </w:r>
            <w:proofErr w:type="spellStart"/>
            <w:r w:rsidRPr="00CA7672">
              <w:rPr>
                <w:rFonts w:asciiTheme="minorHAnsi" w:hAnsiTheme="minorHAnsi" w:cstheme="minorHAnsi"/>
                <w:color w:val="000000"/>
                <w:sz w:val="21"/>
                <w:szCs w:val="21"/>
                <w:lang w:eastAsia="en-GB"/>
              </w:rPr>
              <w:t>Borgå</w:t>
            </w:r>
            <w:proofErr w:type="spellEnd"/>
            <w:r w:rsidRPr="00CA7672">
              <w:rPr>
                <w:rFonts w:asciiTheme="minorHAnsi" w:hAnsiTheme="minorHAnsi" w:cstheme="minorHAnsi"/>
                <w:color w:val="000000"/>
                <w:sz w:val="21"/>
                <w:szCs w:val="21"/>
                <w:lang w:eastAsia="en-GB"/>
              </w:rPr>
              <w:t xml:space="preserv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2006) and eggs (Braune et al. 2006, 2007) of Canadian ivory gulls. </w:t>
            </w:r>
            <w:proofErr w:type="spellStart"/>
            <w:r w:rsidRPr="00CA7672">
              <w:rPr>
                <w:rFonts w:asciiTheme="minorHAnsi" w:hAnsiTheme="minorHAnsi" w:cstheme="minorHAnsi"/>
                <w:color w:val="000000"/>
                <w:sz w:val="21"/>
                <w:szCs w:val="21"/>
                <w:lang w:eastAsia="en-GB"/>
              </w:rPr>
              <w:t>Analysing</w:t>
            </w:r>
            <w:proofErr w:type="spellEnd"/>
            <w:r w:rsidRPr="00CA7672">
              <w:rPr>
                <w:rFonts w:asciiTheme="minorHAnsi" w:hAnsiTheme="minorHAnsi" w:cstheme="minorHAnsi"/>
                <w:color w:val="000000"/>
                <w:sz w:val="21"/>
                <w:szCs w:val="21"/>
                <w:lang w:eastAsia="en-GB"/>
              </w:rPr>
              <w:t xml:space="preserve"> feathers from museum specimens from Arctic Canada and western Greenland, Bond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(2015) found a dramatic 45-fold increase in methyl mercury (</w:t>
            </w:r>
            <w:proofErr w:type="spellStart"/>
            <w:r w:rsidRPr="00CA7672">
              <w:rPr>
                <w:rFonts w:asciiTheme="minorHAnsi" w:hAnsiTheme="minorHAnsi" w:cstheme="minorHAnsi"/>
                <w:color w:val="000000"/>
                <w:sz w:val="21"/>
                <w:szCs w:val="21"/>
                <w:lang w:eastAsia="en-GB"/>
              </w:rPr>
              <w:t>MeHg</w:t>
            </w:r>
            <w:proofErr w:type="spellEnd"/>
            <w:r w:rsidRPr="00CA7672">
              <w:rPr>
                <w:rFonts w:asciiTheme="minorHAnsi" w:hAnsiTheme="minorHAnsi" w:cstheme="minorHAnsi"/>
                <w:color w:val="000000"/>
                <w:sz w:val="21"/>
                <w:szCs w:val="21"/>
                <w:lang w:eastAsia="en-GB"/>
              </w:rPr>
              <w:t xml:space="preserve">) in ivory gulls between 1877 and 2007, while there was no change in the birds’ diet over this period. These findings, and the suggestion that mercury concentrations in ivory gull eggs exceed the threshold for toxic effects (Braune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2006), raised concerns about the negative impact of mercury pollution on ivory gulls, especially in the light of the 80% population decline observed in Canada since 1990. </w:t>
            </w:r>
          </w:p>
          <w:p w14:paraId="1B566A59" w14:textId="3293DD2C"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Within the OSPAR </w:t>
            </w:r>
            <w:r w:rsidR="00CA7672">
              <w:rPr>
                <w:rFonts w:asciiTheme="minorHAnsi" w:hAnsiTheme="minorHAnsi" w:cstheme="minorHAnsi"/>
                <w:color w:val="000000"/>
                <w:sz w:val="21"/>
                <w:szCs w:val="21"/>
                <w:lang w:eastAsia="en-GB"/>
              </w:rPr>
              <w:t>Maritime Area</w:t>
            </w:r>
            <w:r w:rsidRPr="00CA7672">
              <w:rPr>
                <w:rFonts w:asciiTheme="minorHAnsi" w:hAnsiTheme="minorHAnsi" w:cstheme="minorHAnsi"/>
                <w:color w:val="000000"/>
                <w:sz w:val="21"/>
                <w:szCs w:val="21"/>
                <w:lang w:eastAsia="en-GB"/>
              </w:rPr>
              <w:t xml:space="preserve">, there are no temporal trend data as such, but reported pollutant levels for ivory gulls are consistently high. Miljeteig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found that contaminants, including OC, BFR, perfluorinated alkyl substances (PFAS) and Hg in eggs of ivory gulls from four colonies in </w:t>
            </w:r>
            <w:proofErr w:type="spellStart"/>
            <w:r w:rsidRPr="00CA7672">
              <w:rPr>
                <w:rFonts w:asciiTheme="minorHAnsi" w:hAnsiTheme="minorHAnsi" w:cstheme="minorHAnsi"/>
                <w:color w:val="000000"/>
                <w:sz w:val="21"/>
                <w:szCs w:val="21"/>
                <w:lang w:eastAsia="en-GB"/>
              </w:rPr>
              <w:t>Svenskøya</w:t>
            </w:r>
            <w:proofErr w:type="spellEnd"/>
            <w:r w:rsidRPr="00CA7672">
              <w:rPr>
                <w:rFonts w:asciiTheme="minorHAnsi" w:hAnsiTheme="minorHAnsi" w:cstheme="minorHAnsi"/>
                <w:color w:val="000000"/>
                <w:sz w:val="21"/>
                <w:szCs w:val="21"/>
                <w:lang w:eastAsia="en-GB"/>
              </w:rPr>
              <w:t xml:space="preserve"> (Svalbard) and three colonies in Franz Josef Land and Severnaya Zemlya (Russia), collected in 2007 and 2006 respectively, were among the highest reported in any Arctic seabird species. Similarly, high concentrations of trace elements and OC, BFR, PFAS were found in plasma and whole blood of ivory gulls caught in </w:t>
            </w:r>
            <w:proofErr w:type="spellStart"/>
            <w:r w:rsidRPr="00CA7672">
              <w:rPr>
                <w:rFonts w:asciiTheme="minorHAnsi" w:hAnsiTheme="minorHAnsi" w:cstheme="minorHAnsi"/>
                <w:color w:val="000000"/>
                <w:sz w:val="21"/>
                <w:szCs w:val="21"/>
                <w:lang w:eastAsia="en-GB"/>
              </w:rPr>
              <w:t>Barentsøya</w:t>
            </w:r>
            <w:proofErr w:type="spellEnd"/>
            <w:r w:rsidRPr="00CA7672">
              <w:rPr>
                <w:rFonts w:asciiTheme="minorHAnsi" w:hAnsiTheme="minorHAnsi" w:cstheme="minorHAnsi"/>
                <w:color w:val="000000"/>
                <w:sz w:val="21"/>
                <w:szCs w:val="21"/>
                <w:lang w:eastAsia="en-GB"/>
              </w:rPr>
              <w:t xml:space="preserve"> (Svalbard) between 2011-2014 (Lucia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2016, 2017). A circumpolar comparison of ivory gull eggs from Station Nord in Greenland, and the above locations in Canada, Svalbard and Russia showed geographical variation with the highest levels of Hg and PFAS in Canada and Greenland, respectively (Lucia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2015). Eggs from </w:t>
            </w:r>
            <w:proofErr w:type="spellStart"/>
            <w:r w:rsidRPr="00CA7672">
              <w:rPr>
                <w:rFonts w:asciiTheme="minorHAnsi" w:hAnsiTheme="minorHAnsi" w:cstheme="minorHAnsi"/>
                <w:color w:val="000000"/>
                <w:sz w:val="21"/>
                <w:szCs w:val="21"/>
                <w:lang w:eastAsia="en-GB"/>
              </w:rPr>
              <w:t>Nagurskoe</w:t>
            </w:r>
            <w:proofErr w:type="spellEnd"/>
            <w:r w:rsidRPr="00CA7672">
              <w:rPr>
                <w:rFonts w:asciiTheme="minorHAnsi" w:hAnsiTheme="minorHAnsi" w:cstheme="minorHAnsi"/>
                <w:color w:val="000000"/>
                <w:sz w:val="21"/>
                <w:szCs w:val="21"/>
                <w:lang w:eastAsia="en-GB"/>
              </w:rPr>
              <w:t xml:space="preserve"> (Franz Josef Island) were </w:t>
            </w:r>
            <w:proofErr w:type="spellStart"/>
            <w:r w:rsidRPr="00CA7672">
              <w:rPr>
                <w:rFonts w:asciiTheme="minorHAnsi" w:hAnsiTheme="minorHAnsi" w:cstheme="minorHAnsi"/>
                <w:color w:val="000000"/>
                <w:sz w:val="21"/>
                <w:szCs w:val="21"/>
                <w:lang w:eastAsia="en-GB"/>
              </w:rPr>
              <w:t>characterised</w:t>
            </w:r>
            <w:proofErr w:type="spellEnd"/>
            <w:r w:rsidRPr="00CA7672">
              <w:rPr>
                <w:rFonts w:asciiTheme="minorHAnsi" w:hAnsiTheme="minorHAnsi" w:cstheme="minorHAnsi"/>
                <w:color w:val="000000"/>
                <w:sz w:val="21"/>
                <w:szCs w:val="21"/>
                <w:lang w:eastAsia="en-GB"/>
              </w:rPr>
              <w:t xml:space="preserve"> by relatively high OC and BFR concentrations. OC and BFR concentrations gradually decreased in colonies situated to the east of </w:t>
            </w:r>
            <w:proofErr w:type="spellStart"/>
            <w:r w:rsidRPr="00CA7672">
              <w:rPr>
                <w:rFonts w:asciiTheme="minorHAnsi" w:hAnsiTheme="minorHAnsi" w:cstheme="minorHAnsi"/>
                <w:color w:val="000000"/>
                <w:sz w:val="21"/>
                <w:szCs w:val="21"/>
                <w:lang w:eastAsia="en-GB"/>
              </w:rPr>
              <w:t>Nagurskoe</w:t>
            </w:r>
            <w:proofErr w:type="spellEnd"/>
            <w:r w:rsidRPr="00CA7672">
              <w:rPr>
                <w:rFonts w:asciiTheme="minorHAnsi" w:hAnsiTheme="minorHAnsi" w:cstheme="minorHAnsi"/>
                <w:color w:val="000000"/>
                <w:sz w:val="21"/>
                <w:szCs w:val="21"/>
                <w:lang w:eastAsia="en-GB"/>
              </w:rPr>
              <w:t xml:space="preserve"> (</w:t>
            </w:r>
            <w:r w:rsidRPr="00CA7672">
              <w:rPr>
                <w:rFonts w:asciiTheme="minorHAnsi" w:hAnsiTheme="minorHAnsi" w:cstheme="minorHAnsi"/>
                <w:i/>
                <w:iCs/>
                <w:color w:val="000000"/>
                <w:sz w:val="21"/>
                <w:szCs w:val="21"/>
                <w:lang w:eastAsia="en-GB"/>
              </w:rPr>
              <w:t>i.e.</w:t>
            </w:r>
            <w:r w:rsidRPr="00CA7672">
              <w:rPr>
                <w:rFonts w:asciiTheme="minorHAnsi" w:hAnsiTheme="minorHAnsi" w:cstheme="minorHAnsi"/>
                <w:color w:val="000000"/>
                <w:sz w:val="21"/>
                <w:szCs w:val="21"/>
                <w:lang w:eastAsia="en-GB"/>
              </w:rPr>
              <w:t xml:space="preserve"> longitudinal trend, Lucia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2015). Some of the contaminants, especially Hg and </w:t>
            </w:r>
            <w:proofErr w:type="spellStart"/>
            <w:r w:rsidRPr="00CA7672">
              <w:rPr>
                <w:rFonts w:asciiTheme="minorHAnsi" w:hAnsiTheme="minorHAnsi" w:cstheme="minorHAnsi"/>
                <w:i/>
                <w:iCs/>
                <w:color w:val="000000"/>
                <w:sz w:val="21"/>
                <w:szCs w:val="21"/>
                <w:lang w:eastAsia="en-GB"/>
              </w:rPr>
              <w:t>p,p</w:t>
            </w:r>
            <w:proofErr w:type="spellEnd"/>
            <w:r w:rsidRPr="00CA7672">
              <w:rPr>
                <w:rFonts w:asciiTheme="minorHAnsi" w:hAnsiTheme="minorHAnsi" w:cstheme="minorHAnsi"/>
                <w:color w:val="000000"/>
                <w:sz w:val="21"/>
                <w:szCs w:val="21"/>
                <w:lang w:eastAsia="en-GB"/>
              </w:rPr>
              <w:t xml:space="preserve">’-DDE exceeded published thresholds known to disrupt avian reproduction. Although OC, BFR and PFAS did not exceed threshold levels for toxic effects, they could well have unknown synergetic/additive sublethal effects (Lucia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2015). </w:t>
            </w:r>
          </w:p>
          <w:p w14:paraId="5D3A97F2" w14:textId="4C49C99A"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To date there is only one effect-study on contaminants in ivory gulls (Miljeteig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2012). This study found negative correlations between the concentration of a range of contaminants and two response variables: eggshell thickness and vitamin E. Eggshells of ivory gull eggs from Svalbard and Russia collected in 2006 and 2007 were 7-17% thinner than archived reference samples from before 1930. A decrease in eggshell thickness of this magnitude has been associated with population declines in other bird species. A contaminant-associated decrease in vitamin E in ivory gull eggs can be a sign of elevated oxidative stress. These results suggest a negative impact of pollution on ivory gulls, although further research is needed.</w:t>
            </w:r>
          </w:p>
          <w:p w14:paraId="2BE400EC" w14:textId="71A26EF9" w:rsidR="00645F89" w:rsidRPr="00CA7672" w:rsidRDefault="00645F89" w:rsidP="00645F89">
            <w:pPr>
              <w:tabs>
                <w:tab w:val="clear" w:pos="567"/>
              </w:tabs>
              <w:spacing w:before="100" w:beforeAutospacing="1" w:after="100" w:afterAutospacing="1"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No recent contaminant data are available for ivory gulls in the OSPAR </w:t>
            </w:r>
            <w:r w:rsidR="00CA7672">
              <w:rPr>
                <w:rFonts w:asciiTheme="minorHAnsi" w:hAnsiTheme="minorHAnsi" w:cstheme="minorHAnsi"/>
                <w:color w:val="000000"/>
                <w:sz w:val="21"/>
                <w:szCs w:val="21"/>
                <w:lang w:eastAsia="en-GB"/>
              </w:rPr>
              <w:t>Maritime Area</w:t>
            </w:r>
            <w:r w:rsidRPr="00CA7672">
              <w:rPr>
                <w:rFonts w:asciiTheme="minorHAnsi" w:hAnsiTheme="minorHAnsi" w:cstheme="minorHAnsi"/>
                <w:color w:val="000000"/>
                <w:sz w:val="21"/>
                <w:szCs w:val="21"/>
                <w:lang w:eastAsia="en-GB"/>
              </w:rPr>
              <w:t xml:space="preserve">. However, it is likely that contaminant exposure continues to threaten the species for two reasons: 1) ivory gulls may be exposed to new, thus far unknown and unrestricted Contaminants of Emerging Arctic Concern (AMAP 2017) and 2) there is mounting evidence that climate warming both increases exposure and worsens the effects of contaminants on Arctic wildlife (Hung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For example, melting of the cryosphere causes contaminants previously trapped in the ice to be released in the environment (Noyes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2009). Increased accessibility attracts human activity in the area, and this raises the importance of local pollution sources in addition to long-</w:t>
            </w:r>
            <w:r w:rsidRPr="00CA7672">
              <w:rPr>
                <w:rFonts w:asciiTheme="minorHAnsi" w:hAnsiTheme="minorHAnsi" w:cstheme="minorHAnsi"/>
                <w:color w:val="000000"/>
                <w:sz w:val="21"/>
                <w:szCs w:val="21"/>
                <w:lang w:eastAsia="en-GB"/>
              </w:rPr>
              <w:lastRenderedPageBreak/>
              <w:t xml:space="preserve">range transport (Ali </w:t>
            </w:r>
            <w:r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2021). High contaminant exposure compromises physiological control mechanisms, which increases vulnerability to, for example, a potential outbreak of avian influenza as recently seen in other high-Arctic seabirds (Lee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2020). Importantly, compromised physiological control mechanisms reduce </w:t>
            </w:r>
            <w:proofErr w:type="spellStart"/>
            <w:r w:rsidRPr="00CA7672">
              <w:rPr>
                <w:rFonts w:asciiTheme="minorHAnsi" w:hAnsiTheme="minorHAnsi" w:cstheme="minorHAnsi"/>
                <w:color w:val="000000"/>
                <w:sz w:val="21"/>
                <w:szCs w:val="21"/>
                <w:lang w:eastAsia="en-GB"/>
              </w:rPr>
              <w:t>behavioural</w:t>
            </w:r>
            <w:proofErr w:type="spellEnd"/>
            <w:r w:rsidRPr="00CA7672">
              <w:rPr>
                <w:rFonts w:asciiTheme="minorHAnsi" w:hAnsiTheme="minorHAnsi" w:cstheme="minorHAnsi"/>
                <w:color w:val="000000"/>
                <w:sz w:val="21"/>
                <w:szCs w:val="21"/>
                <w:lang w:eastAsia="en-GB"/>
              </w:rPr>
              <w:t xml:space="preserve"> plasticity and the ability to cope with stressors associated with climate warming, </w:t>
            </w:r>
            <w:r w:rsidRPr="00CA7672">
              <w:rPr>
                <w:rFonts w:asciiTheme="minorHAnsi" w:hAnsiTheme="minorHAnsi" w:cstheme="minorHAnsi"/>
                <w:i/>
                <w:iCs/>
                <w:color w:val="000000"/>
                <w:sz w:val="21"/>
                <w:szCs w:val="21"/>
                <w:lang w:eastAsia="en-GB"/>
              </w:rPr>
              <w:t xml:space="preserve">i.e. </w:t>
            </w:r>
            <w:r w:rsidRPr="00CA7672">
              <w:rPr>
                <w:rFonts w:asciiTheme="minorHAnsi" w:hAnsiTheme="minorHAnsi" w:cstheme="minorHAnsi"/>
                <w:color w:val="000000"/>
                <w:sz w:val="21"/>
                <w:szCs w:val="21"/>
                <w:lang w:eastAsia="en-GB"/>
              </w:rPr>
              <w:t xml:space="preserve">sea-ice break up and changes in food availability, exposure to new pathogens etc. (Grunst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2023).</w:t>
            </w:r>
          </w:p>
          <w:p w14:paraId="650427B0" w14:textId="65A99AC2" w:rsidR="00645F89" w:rsidRPr="00CA7672" w:rsidRDefault="00645F89" w:rsidP="00645F89">
            <w:pPr>
              <w:tabs>
                <w:tab w:val="clear" w:pos="567"/>
              </w:tabs>
              <w:spacing w:after="150" w:line="259"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 xml:space="preserve">Other threats </w:t>
            </w:r>
            <w:r w:rsidRPr="00CA7672">
              <w:rPr>
                <w:rFonts w:asciiTheme="minorHAnsi" w:hAnsiTheme="minorHAnsi" w:cstheme="minorHAnsi"/>
                <w:b/>
                <w:i/>
                <w:iCs/>
                <w:color w:val="000000"/>
                <w:sz w:val="21"/>
                <w:szCs w:val="21"/>
                <w:lang w:eastAsia="en-GB"/>
              </w:rPr>
              <w:t>-</w:t>
            </w:r>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Besides climate change and pollution, ivory gulls have been thought to be affected by subsistence hunting and, more recently, by human disturbance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OSPAR commission 2009, </w:t>
            </w:r>
            <w:proofErr w:type="spellStart"/>
            <w:r w:rsidRPr="00CA7672">
              <w:rPr>
                <w:rFonts w:asciiTheme="minorHAnsi" w:hAnsiTheme="minorHAnsi" w:cstheme="minorHAnsi"/>
                <w:color w:val="000000"/>
                <w:sz w:val="21"/>
                <w:szCs w:val="21"/>
                <w:lang w:eastAsia="en-GB"/>
              </w:rPr>
              <w:t>BirdLife</w:t>
            </w:r>
            <w:proofErr w:type="spellEnd"/>
            <w:r w:rsidRPr="00CA7672">
              <w:rPr>
                <w:rFonts w:asciiTheme="minorHAnsi" w:hAnsiTheme="minorHAnsi" w:cstheme="minorHAnsi"/>
                <w:color w:val="000000"/>
                <w:sz w:val="21"/>
                <w:szCs w:val="21"/>
                <w:lang w:eastAsia="en-GB"/>
              </w:rPr>
              <w:t xml:space="preserve"> International 2018). The population decline of Canadian ivory gulls has been associated with hunting incidents in northwest Greenland in the past (Stenhouse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2004) and local people living on remote Russian islands may still occasionally collect ivory gull eggs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Today the ivory gull is legally protected in</w:t>
            </w:r>
            <w:r w:rsidR="00CA7672">
              <w:rPr>
                <w:rFonts w:asciiTheme="minorHAnsi" w:hAnsiTheme="minorHAnsi" w:cstheme="minorHAnsi"/>
                <w:color w:val="000000"/>
                <w:sz w:val="21"/>
                <w:szCs w:val="21"/>
                <w:lang w:eastAsia="en-GB"/>
              </w:rPr>
              <w:t xml:space="preserve"> Region I</w:t>
            </w:r>
            <w:r w:rsidRPr="00CA7672">
              <w:rPr>
                <w:rFonts w:asciiTheme="minorHAnsi" w:hAnsiTheme="minorHAnsi" w:cstheme="minorHAnsi"/>
                <w:color w:val="000000"/>
                <w:sz w:val="21"/>
                <w:szCs w:val="21"/>
                <w:lang w:eastAsia="en-GB"/>
              </w:rPr>
              <w:t xml:space="preserve"> as well as in the rest of its distribution range and subsistence hunting is not thought to be a threat to the OSPAR ivory gull population, or indeed the global ivory gull population. </w:t>
            </w:r>
          </w:p>
          <w:p w14:paraId="6B736F7D" w14:textId="7EFC2291" w:rsidR="00645F89" w:rsidRPr="00CA7672" w:rsidRDefault="00645F89" w:rsidP="00645F89">
            <w:pPr>
              <w:tabs>
                <w:tab w:val="clear" w:pos="567"/>
              </w:tabs>
              <w:spacing w:after="150" w:line="240" w:lineRule="auto"/>
              <w:jc w:val="left"/>
              <w:rPr>
                <w:rFonts w:asciiTheme="minorHAnsi" w:hAnsiTheme="minorHAnsi" w:cstheme="minorHAnsi"/>
                <w:color w:val="000000"/>
                <w:sz w:val="24"/>
              </w:rPr>
            </w:pPr>
            <w:r w:rsidRPr="00CA7672">
              <w:rPr>
                <w:rFonts w:asciiTheme="minorHAnsi" w:hAnsiTheme="minorHAnsi" w:cstheme="minorHAnsi"/>
                <w:color w:val="000000"/>
                <w:sz w:val="21"/>
                <w:szCs w:val="21"/>
                <w:lang w:eastAsia="en-GB"/>
              </w:rPr>
              <w:t xml:space="preserve">Human activity is increasing in the Arctic (OSPAR Commission 2021a, b). With more industrial shipping, tourism and exploration for oil and minerals, the ivory gull is at increased risk of oiling at sea and disturbance in the breeding colonies (OSPAR Commission 2009). The ivory gull is thought to be vulnerable when it comes to oil pollution (Gavrilo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1998) and disturbance at the breeding sites (e.g. overflying </w:t>
            </w:r>
            <w:proofErr w:type="gramStart"/>
            <w:r w:rsidRPr="00CA7672">
              <w:rPr>
                <w:rFonts w:asciiTheme="minorHAnsi" w:hAnsiTheme="minorHAnsi" w:cstheme="minorHAnsi"/>
                <w:color w:val="000000"/>
                <w:sz w:val="21"/>
                <w:szCs w:val="21"/>
                <w:lang w:eastAsia="en-GB"/>
              </w:rPr>
              <w:t>aircrafts</w:t>
            </w:r>
            <w:proofErr w:type="gramEnd"/>
            <w:r w:rsidRPr="00CA7672">
              <w:rPr>
                <w:rFonts w:asciiTheme="minorHAnsi" w:hAnsiTheme="minorHAnsi" w:cstheme="minorHAnsi"/>
                <w:color w:val="000000"/>
                <w:sz w:val="21"/>
                <w:szCs w:val="21"/>
                <w:lang w:eastAsia="en-GB"/>
              </w:rPr>
              <w:t>, increasing number of visitors) may reduce breeding success (</w:t>
            </w:r>
            <w:proofErr w:type="spellStart"/>
            <w:r w:rsidRPr="00CA7672">
              <w:rPr>
                <w:rFonts w:asciiTheme="minorHAnsi" w:hAnsiTheme="minorHAnsi" w:cstheme="minorHAnsi"/>
                <w:color w:val="000000"/>
                <w:sz w:val="21"/>
                <w:szCs w:val="21"/>
                <w:lang w:eastAsia="en-GB"/>
              </w:rPr>
              <w:t>Tomkovich</w:t>
            </w:r>
            <w:proofErr w:type="spellEnd"/>
            <w:r w:rsidRPr="00CA7672">
              <w:rPr>
                <w:rFonts w:asciiTheme="minorHAnsi" w:hAnsiTheme="minorHAnsi" w:cstheme="minorHAnsi"/>
                <w:color w:val="000000"/>
                <w:sz w:val="21"/>
                <w:szCs w:val="21"/>
                <w:lang w:eastAsia="en-GB"/>
              </w:rPr>
              <w:t xml:space="preserve"> 1986, as cited by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Increased waste from land-based human activities may cause an increase in the numbers of ravens and Arctic foxes. Such an increase in predatory species may have a negative impact on ivory gull colonies. However, ivory gulls tend to reside in very inaccessible parts of the high Arctic, where there is very little human activity today. The ivory gull is an opportunistic breeder and colony locations can change in quick response to local disturbance (e.g. temporary camp / airstrip related to mineral exploration). Ivory gulls are also known to benefit from nesting close to a polar research station, where they may feed on human sewage and food leftovers from the kitchen (Dumas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2022). While human disturbance is unlikely to affect population numbers of ivory gulls in</w:t>
            </w:r>
            <w:r w:rsidR="00CA7672">
              <w:rPr>
                <w:rFonts w:asciiTheme="minorHAnsi" w:hAnsiTheme="minorHAnsi" w:cstheme="minorHAnsi"/>
                <w:color w:val="000000"/>
                <w:sz w:val="21"/>
                <w:szCs w:val="21"/>
                <w:lang w:eastAsia="en-GB"/>
              </w:rPr>
              <w:t xml:space="preserve"> Region I</w:t>
            </w:r>
            <w:r w:rsidRPr="00CA7672">
              <w:rPr>
                <w:rFonts w:asciiTheme="minorHAnsi" w:hAnsiTheme="minorHAnsi" w:cstheme="minorHAnsi"/>
                <w:color w:val="000000"/>
                <w:sz w:val="21"/>
                <w:szCs w:val="21"/>
                <w:lang w:eastAsia="en-GB"/>
              </w:rPr>
              <w:t xml:space="preserve"> today, this may change in the future. </w:t>
            </w:r>
          </w:p>
        </w:tc>
      </w:tr>
      <w:tr w:rsidR="00645F89" w:rsidRPr="00CA7672" w14:paraId="02467949" w14:textId="77777777" w:rsidTr="00F51724">
        <w:tc>
          <w:tcPr>
            <w:tcW w:w="2563" w:type="dxa"/>
            <w:tcMar>
              <w:top w:w="144" w:type="dxa"/>
              <w:left w:w="115" w:type="dxa"/>
              <w:bottom w:w="144" w:type="dxa"/>
              <w:right w:w="115" w:type="dxa"/>
            </w:tcMar>
            <w:hideMark/>
          </w:tcPr>
          <w:p w14:paraId="11A3BE90" w14:textId="77777777" w:rsidR="00645F89" w:rsidRPr="00CA7672" w:rsidRDefault="00645F89" w:rsidP="00645F89">
            <w:pPr>
              <w:tabs>
                <w:tab w:val="clear" w:pos="567"/>
              </w:tabs>
              <w:spacing w:after="0" w:line="240" w:lineRule="auto"/>
              <w:rPr>
                <w:rFonts w:asciiTheme="minorHAnsi" w:hAnsiTheme="minorHAnsi" w:cstheme="minorHAnsi"/>
                <w:color w:val="000000"/>
                <w:sz w:val="24"/>
              </w:rPr>
            </w:pPr>
            <w:r w:rsidRPr="00CA7672">
              <w:rPr>
                <w:rFonts w:asciiTheme="minorHAnsi" w:hAnsiTheme="minorHAnsi" w:cstheme="minorHAnsi"/>
                <w:color w:val="000000"/>
                <w:sz w:val="21"/>
                <w:szCs w:val="21"/>
              </w:rPr>
              <w:lastRenderedPageBreak/>
              <w:t>Conservation measures (additional information)</w:t>
            </w:r>
          </w:p>
        </w:tc>
        <w:tc>
          <w:tcPr>
            <w:tcW w:w="7610" w:type="dxa"/>
            <w:tcMar>
              <w:top w:w="144" w:type="dxa"/>
              <w:left w:w="115" w:type="dxa"/>
              <w:bottom w:w="144" w:type="dxa"/>
              <w:right w:w="115" w:type="dxa"/>
            </w:tcMar>
          </w:tcPr>
          <w:p w14:paraId="51D2585A" w14:textId="274AC20F"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Conservation measures:</w:t>
            </w:r>
            <w:r w:rsidRPr="00CA7672">
              <w:rPr>
                <w:rFonts w:asciiTheme="minorHAnsi" w:hAnsiTheme="minorHAnsi" w:cstheme="minorHAnsi"/>
                <w:color w:val="000000"/>
                <w:sz w:val="21"/>
                <w:szCs w:val="21"/>
                <w:lang w:eastAsia="en-GB"/>
              </w:rPr>
              <w:t xml:space="preserve">   The ivory gull is legally protected under the Greenland Home Rule Order (1988) and the Svalbard Environmental Protection Act (1978). In Canada, the ivory gull is protected under the Migratory Birds Convention Act and Migratory Bird Regulations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The ivory gull is listed as ‘vulnerable’ on the national species red lists of Greenland (Boertmann and Bay 2018) and Norway (Stokke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2021). In Canada, the ivory gull is listed as ‘endangered’ (COSEWIC 2006), and a recovery strategy has been developed for the species (Environment Canada 2014). The ivory gull is also listed as a category 3 (Rare) species in the Red Data book of the Russian Federation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 Thus, the ivory gull is legally protected in the whole of its distribution range.</w:t>
            </w:r>
          </w:p>
          <w:p w14:paraId="0D945DD3" w14:textId="77777777" w:rsidR="00645F89" w:rsidRPr="00CA7672" w:rsidRDefault="00645F89" w:rsidP="00645F89">
            <w:pPr>
              <w:tabs>
                <w:tab w:val="clear" w:pos="567"/>
              </w:tabs>
              <w:spacing w:after="150" w:line="240" w:lineRule="auto"/>
              <w:jc w:val="left"/>
              <w:rPr>
                <w:rFonts w:asciiTheme="minorHAnsi" w:hAnsiTheme="minorHAnsi" w:cstheme="minorHAnsi"/>
                <w:b/>
                <w:color w:val="000000"/>
                <w:sz w:val="21"/>
                <w:szCs w:val="21"/>
                <w:lang w:eastAsia="en-GB"/>
              </w:rPr>
            </w:pPr>
          </w:p>
          <w:p w14:paraId="0FE01510" w14:textId="77777777"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b/>
                <w:color w:val="000000"/>
                <w:sz w:val="21"/>
                <w:szCs w:val="21"/>
                <w:lang w:eastAsia="en-GB"/>
              </w:rPr>
              <w:t>Implementation status</w:t>
            </w:r>
            <w:r w:rsidRPr="00CA7672">
              <w:rPr>
                <w:rFonts w:asciiTheme="minorHAnsi" w:hAnsiTheme="minorHAnsi" w:cstheme="minorHAnsi"/>
                <w:color w:val="000000"/>
                <w:sz w:val="21"/>
                <w:szCs w:val="21"/>
                <w:lang w:eastAsia="en-GB"/>
              </w:rPr>
              <w:t xml:space="preserve">:   Since OSPAR listing of the ivory gull, there has been an internationally coordinated monitoring and research effort by contracting parties. </w:t>
            </w:r>
            <w:r w:rsidRPr="00CA7672">
              <w:rPr>
                <w:rFonts w:asciiTheme="minorHAnsi" w:hAnsiTheme="minorHAnsi" w:cstheme="minorHAnsi"/>
                <w:color w:val="000000"/>
                <w:sz w:val="21"/>
                <w:szCs w:val="21"/>
                <w:lang w:eastAsia="en-GB"/>
              </w:rPr>
              <w:lastRenderedPageBreak/>
              <w:t xml:space="preserve">Using aerial surveys and satellite tracking, information has been collected on breeding and non-breeding distribution, migration routes and population size. This has provided better insight in the </w:t>
            </w:r>
            <w:proofErr w:type="gramStart"/>
            <w:r w:rsidRPr="00CA7672">
              <w:rPr>
                <w:rFonts w:asciiTheme="minorHAnsi" w:hAnsiTheme="minorHAnsi" w:cstheme="minorHAnsi"/>
                <w:color w:val="000000"/>
                <w:sz w:val="21"/>
                <w:szCs w:val="21"/>
                <w:lang w:eastAsia="en-GB"/>
              </w:rPr>
              <w:t>current status</w:t>
            </w:r>
            <w:proofErr w:type="gramEnd"/>
            <w:r w:rsidRPr="00CA7672">
              <w:rPr>
                <w:rFonts w:asciiTheme="minorHAnsi" w:hAnsiTheme="minorHAnsi" w:cstheme="minorHAnsi"/>
                <w:color w:val="000000"/>
                <w:sz w:val="21"/>
                <w:szCs w:val="21"/>
                <w:lang w:eastAsia="en-GB"/>
              </w:rPr>
              <w:t xml:space="preserve"> of the ivory gull:   </w:t>
            </w:r>
          </w:p>
          <w:p w14:paraId="2294BD23" w14:textId="77777777" w:rsidR="00645F89" w:rsidRPr="00CA7672" w:rsidRDefault="00645F89" w:rsidP="00645F89">
            <w:pPr>
              <w:numPr>
                <w:ilvl w:val="0"/>
                <w:numId w:val="46"/>
              </w:numPr>
              <w:tabs>
                <w:tab w:val="clear" w:pos="567"/>
              </w:tabs>
              <w:spacing w:after="150" w:line="240" w:lineRule="auto"/>
              <w:ind w:left="504"/>
              <w:contextualSpacing/>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40% population decline in Svalbard. </w:t>
            </w:r>
          </w:p>
          <w:p w14:paraId="3F28B5A4" w14:textId="77777777" w:rsidR="00645F89" w:rsidRPr="00CA7672" w:rsidRDefault="00645F89" w:rsidP="00645F89">
            <w:pPr>
              <w:numPr>
                <w:ilvl w:val="0"/>
                <w:numId w:val="46"/>
              </w:numPr>
              <w:tabs>
                <w:tab w:val="clear" w:pos="567"/>
              </w:tabs>
              <w:spacing w:after="150" w:line="240" w:lineRule="auto"/>
              <w:ind w:left="504"/>
              <w:contextualSpacing/>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Identification of globally important wintering area in the Davis Strait and the Labrador Sea.</w:t>
            </w:r>
          </w:p>
          <w:p w14:paraId="17CD2AD3" w14:textId="77777777" w:rsidR="00645F89" w:rsidRPr="00CA7672" w:rsidRDefault="00645F89" w:rsidP="00645F89">
            <w:pPr>
              <w:numPr>
                <w:ilvl w:val="0"/>
                <w:numId w:val="46"/>
              </w:numPr>
              <w:tabs>
                <w:tab w:val="clear" w:pos="567"/>
              </w:tabs>
              <w:spacing w:after="150" w:line="240" w:lineRule="auto"/>
              <w:ind w:left="504"/>
              <w:contextualSpacing/>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Ivory gulls are thought to belong to a single-Arctic-wide population with massive movements of individuals between colonies.</w:t>
            </w:r>
          </w:p>
          <w:p w14:paraId="34F096C0" w14:textId="77777777"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p>
          <w:p w14:paraId="0CD42323" w14:textId="77777777"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International conservation initiatives taken to protect the ivory gull: </w:t>
            </w:r>
          </w:p>
          <w:p w14:paraId="4154B1F5" w14:textId="7A038B0B" w:rsidR="00645F89" w:rsidRPr="00CA7672" w:rsidRDefault="00645F89" w:rsidP="00645F89">
            <w:pPr>
              <w:numPr>
                <w:ilvl w:val="0"/>
                <w:numId w:val="46"/>
              </w:numPr>
              <w:tabs>
                <w:tab w:val="clear" w:pos="567"/>
              </w:tabs>
              <w:spacing w:after="150" w:line="240" w:lineRule="auto"/>
              <w:ind w:left="504"/>
              <w:contextualSpacing/>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An international ”Conservation Strategy and Action Plan” was presented by the CAFF (Conservation of Arctic Flora and Fauna) and CBIRD (circumpolar seabird group) to gain more insight into how the ivory gull responds to disappearance of sea ice habitat, increase in natural resource exploration and pollution (Gilchrist </w:t>
            </w:r>
            <w:r w:rsidR="00395F20" w:rsidRPr="00CA7672">
              <w:rPr>
                <w:rFonts w:asciiTheme="minorHAnsi" w:hAnsiTheme="minorHAnsi" w:cstheme="minorHAnsi"/>
                <w:i/>
                <w:iCs/>
                <w:color w:val="000000"/>
                <w:sz w:val="21"/>
                <w:szCs w:val="21"/>
                <w:lang w:eastAsia="en-GB"/>
              </w:rPr>
              <w:t>et al.,</w:t>
            </w:r>
            <w:r w:rsidRPr="00CA7672">
              <w:rPr>
                <w:rFonts w:asciiTheme="minorHAnsi" w:hAnsiTheme="minorHAnsi" w:cstheme="minorHAnsi"/>
                <w:color w:val="000000"/>
                <w:sz w:val="21"/>
                <w:szCs w:val="21"/>
                <w:lang w:eastAsia="en-GB"/>
              </w:rPr>
              <w:t xml:space="preserve"> 2008).</w:t>
            </w:r>
          </w:p>
          <w:p w14:paraId="693BDF57" w14:textId="77777777" w:rsidR="00645F89" w:rsidRPr="00CA7672" w:rsidRDefault="00645F89" w:rsidP="00645F89">
            <w:pPr>
              <w:numPr>
                <w:ilvl w:val="0"/>
                <w:numId w:val="46"/>
              </w:numPr>
              <w:tabs>
                <w:tab w:val="clear" w:pos="567"/>
              </w:tabs>
              <w:spacing w:after="150" w:line="240" w:lineRule="auto"/>
              <w:ind w:left="504"/>
              <w:contextualSpacing/>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The species is listed as Near Threatened by the International Union for Conservation of Nature (IUCN), recognizing global warming and pollution as major threats (</w:t>
            </w:r>
            <w:proofErr w:type="spellStart"/>
            <w:r w:rsidRPr="00CA7672">
              <w:rPr>
                <w:rFonts w:asciiTheme="minorHAnsi" w:hAnsiTheme="minorHAnsi" w:cstheme="minorHAnsi"/>
                <w:color w:val="000000"/>
                <w:sz w:val="21"/>
                <w:szCs w:val="21"/>
                <w:lang w:eastAsia="en-GB"/>
              </w:rPr>
              <w:t>BirdLife</w:t>
            </w:r>
            <w:proofErr w:type="spellEnd"/>
            <w:r w:rsidRPr="00CA7672">
              <w:rPr>
                <w:rFonts w:asciiTheme="minorHAnsi" w:hAnsiTheme="minorHAnsi" w:cstheme="minorHAnsi"/>
                <w:color w:val="000000"/>
                <w:sz w:val="21"/>
                <w:szCs w:val="21"/>
                <w:lang w:eastAsia="en-GB"/>
              </w:rPr>
              <w:t xml:space="preserve"> International 2018). </w:t>
            </w:r>
          </w:p>
          <w:p w14:paraId="38F3F68E" w14:textId="77777777" w:rsidR="00645F89" w:rsidRPr="00CA7672" w:rsidRDefault="00645F89" w:rsidP="00645F89">
            <w:pPr>
              <w:numPr>
                <w:ilvl w:val="0"/>
                <w:numId w:val="46"/>
              </w:numPr>
              <w:tabs>
                <w:tab w:val="clear" w:pos="567"/>
              </w:tabs>
              <w:spacing w:after="150" w:line="240" w:lineRule="auto"/>
              <w:ind w:left="504"/>
              <w:contextualSpacing/>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There is MPA protection in the east part of Svalbard where most ivory gull colonies are located. </w:t>
            </w:r>
            <w:proofErr w:type="spellStart"/>
            <w:r w:rsidRPr="00CA7672">
              <w:rPr>
                <w:rFonts w:asciiTheme="minorHAnsi" w:hAnsiTheme="minorHAnsi" w:cstheme="minorHAnsi"/>
                <w:color w:val="000000"/>
                <w:sz w:val="21"/>
                <w:szCs w:val="21"/>
                <w:lang w:eastAsia="en-GB"/>
              </w:rPr>
              <w:t>Nordaustlandet</w:t>
            </w:r>
            <w:proofErr w:type="spellEnd"/>
            <w:r w:rsidRPr="00CA7672">
              <w:rPr>
                <w:rFonts w:asciiTheme="minorHAnsi" w:hAnsiTheme="minorHAnsi" w:cstheme="minorHAnsi"/>
                <w:color w:val="000000"/>
                <w:sz w:val="21"/>
                <w:szCs w:val="21"/>
                <w:lang w:eastAsia="en-GB"/>
              </w:rPr>
              <w:t xml:space="preserve"> and the sea around it is actively managed as MPA, while the </w:t>
            </w:r>
            <w:proofErr w:type="spellStart"/>
            <w:r w:rsidRPr="00CA7672">
              <w:rPr>
                <w:rFonts w:asciiTheme="minorHAnsi" w:hAnsiTheme="minorHAnsi" w:cstheme="minorHAnsi"/>
                <w:color w:val="000000"/>
                <w:sz w:val="21"/>
                <w:szCs w:val="21"/>
                <w:lang w:eastAsia="en-GB"/>
              </w:rPr>
              <w:t>Barentsøya</w:t>
            </w:r>
            <w:proofErr w:type="spellEnd"/>
            <w:r w:rsidRPr="00CA7672">
              <w:rPr>
                <w:rFonts w:asciiTheme="minorHAnsi" w:hAnsiTheme="minorHAnsi" w:cstheme="minorHAnsi"/>
                <w:color w:val="000000"/>
                <w:sz w:val="21"/>
                <w:szCs w:val="21"/>
                <w:lang w:eastAsia="en-GB"/>
              </w:rPr>
              <w:t xml:space="preserve"> and </w:t>
            </w:r>
            <w:proofErr w:type="spellStart"/>
            <w:r w:rsidRPr="00CA7672">
              <w:rPr>
                <w:rFonts w:asciiTheme="minorHAnsi" w:hAnsiTheme="minorHAnsi" w:cstheme="minorHAnsi"/>
                <w:color w:val="000000"/>
                <w:sz w:val="21"/>
                <w:szCs w:val="21"/>
                <w:lang w:eastAsia="en-GB"/>
              </w:rPr>
              <w:t>Edgeøya</w:t>
            </w:r>
            <w:proofErr w:type="spellEnd"/>
            <w:r w:rsidRPr="00CA7672">
              <w:rPr>
                <w:rFonts w:asciiTheme="minorHAnsi" w:hAnsiTheme="minorHAnsi" w:cstheme="minorHAnsi"/>
                <w:color w:val="000000"/>
                <w:sz w:val="21"/>
                <w:szCs w:val="21"/>
                <w:lang w:eastAsia="en-GB"/>
              </w:rPr>
              <w:t xml:space="preserve"> areas are a designated MPA. Most colonies in Greenland </w:t>
            </w:r>
            <w:proofErr w:type="gramStart"/>
            <w:r w:rsidRPr="00CA7672">
              <w:rPr>
                <w:rFonts w:asciiTheme="minorHAnsi" w:hAnsiTheme="minorHAnsi" w:cstheme="minorHAnsi"/>
                <w:color w:val="000000"/>
                <w:sz w:val="21"/>
                <w:szCs w:val="21"/>
                <w:lang w:eastAsia="en-GB"/>
              </w:rPr>
              <w:t>are located in</w:t>
            </w:r>
            <w:proofErr w:type="gramEnd"/>
            <w:r w:rsidRPr="00CA7672">
              <w:rPr>
                <w:rFonts w:asciiTheme="minorHAnsi" w:hAnsiTheme="minorHAnsi" w:cstheme="minorHAnsi"/>
                <w:color w:val="000000"/>
                <w:sz w:val="21"/>
                <w:szCs w:val="21"/>
                <w:lang w:eastAsia="en-GB"/>
              </w:rPr>
              <w:t xml:space="preserve"> the Northeast Greenland National Park. While this includes fjords and some of the coastal waters, there is currently no MPA protection of all the ivory gull foraging areas in Greenland. The western islands of Franz Josef Land and the seas directly surrounding the ivory gull breeding areas are included in the Russian Arctic MPA.</w:t>
            </w:r>
          </w:p>
        </w:tc>
      </w:tr>
      <w:tr w:rsidR="00645F89" w:rsidRPr="00CA7672" w14:paraId="5CAA80D4" w14:textId="77777777" w:rsidTr="00F51724">
        <w:tc>
          <w:tcPr>
            <w:tcW w:w="2563" w:type="dxa"/>
            <w:tcMar>
              <w:top w:w="144" w:type="dxa"/>
              <w:left w:w="115" w:type="dxa"/>
              <w:bottom w:w="144" w:type="dxa"/>
              <w:right w:w="115" w:type="dxa"/>
            </w:tcMar>
            <w:hideMark/>
          </w:tcPr>
          <w:p w14:paraId="64A794DF"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Knowledge gaps (additional information)</w:t>
            </w:r>
          </w:p>
        </w:tc>
        <w:tc>
          <w:tcPr>
            <w:tcW w:w="7610" w:type="dxa"/>
            <w:tcMar>
              <w:top w:w="144" w:type="dxa"/>
              <w:left w:w="115" w:type="dxa"/>
              <w:bottom w:w="144" w:type="dxa"/>
              <w:right w:w="115" w:type="dxa"/>
            </w:tcMar>
          </w:tcPr>
          <w:p w14:paraId="0C07276D" w14:textId="77777777"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Since ivory gulls are thought to belong to one global population, it is crucial that conservation efforts are based on information that covers the whole of the species’ distribution range. Currently relatively little information is available from recent ivory gull monitoring studies in Arctic Russia. </w:t>
            </w:r>
          </w:p>
          <w:p w14:paraId="0980471C" w14:textId="7EBBB6FA"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Ivory gulls from different breeding colonies in Greenland, Svalbard, Canada, and Arctic Russia come together in the Davis Strait and Labrador Sea where they stay in winter. It is currently unknown how ecological changes in the wintering area and along migration routes may affect the ivory gulls that breed in the OSPAR</w:t>
            </w:r>
            <w:r w:rsidR="00CA7672">
              <w:rPr>
                <w:rFonts w:asciiTheme="minorHAnsi" w:hAnsiTheme="minorHAnsi" w:cstheme="minorHAnsi"/>
                <w:color w:val="000000"/>
                <w:sz w:val="21"/>
                <w:szCs w:val="21"/>
                <w:lang w:eastAsia="en-GB"/>
              </w:rPr>
              <w:t xml:space="preserve"> Maritime Area</w:t>
            </w:r>
            <w:r w:rsidRPr="00CA7672">
              <w:rPr>
                <w:rFonts w:asciiTheme="minorHAnsi" w:hAnsiTheme="minorHAnsi" w:cstheme="minorHAnsi"/>
                <w:color w:val="000000"/>
                <w:sz w:val="21"/>
                <w:szCs w:val="21"/>
                <w:lang w:eastAsia="en-GB"/>
              </w:rPr>
              <w:t xml:space="preserve">. </w:t>
            </w:r>
          </w:p>
          <w:p w14:paraId="1934ADBA"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Climate models predict that the ice edge will move further north, and the Arctic will become ice-free in summer. It is documented just how heavily ivory gulls depend on sea ice. However, it is unknown how ivory gulls will respond to the loss of sea-ice habitat. Although ivory gulls can be flexible (e.g. moving between colonies, foraging at glacier fronts), it </w:t>
            </w:r>
            <w:proofErr w:type="gramStart"/>
            <w:r w:rsidRPr="00CA7672">
              <w:rPr>
                <w:rFonts w:asciiTheme="minorHAnsi" w:hAnsiTheme="minorHAnsi" w:cstheme="minorHAnsi"/>
                <w:color w:val="000000"/>
                <w:sz w:val="21"/>
                <w:szCs w:val="21"/>
                <w:lang w:eastAsia="en-GB"/>
              </w:rPr>
              <w:t>currently</w:t>
            </w:r>
            <w:proofErr w:type="gramEnd"/>
            <w:r w:rsidRPr="00CA7672">
              <w:rPr>
                <w:rFonts w:asciiTheme="minorHAnsi" w:hAnsiTheme="minorHAnsi" w:cstheme="minorHAnsi"/>
                <w:color w:val="000000"/>
                <w:sz w:val="21"/>
                <w:szCs w:val="21"/>
                <w:lang w:eastAsia="en-GB"/>
              </w:rPr>
              <w:t xml:space="preserve"> not known how they would react to disappearance of suitable winter habitat, for example. It remains to be seen if ivory gulls exhibit enough </w:t>
            </w:r>
            <w:proofErr w:type="spellStart"/>
            <w:r w:rsidRPr="00CA7672">
              <w:rPr>
                <w:rFonts w:asciiTheme="minorHAnsi" w:hAnsiTheme="minorHAnsi" w:cstheme="minorHAnsi"/>
                <w:color w:val="000000"/>
                <w:sz w:val="21"/>
                <w:szCs w:val="21"/>
                <w:lang w:eastAsia="en-GB"/>
              </w:rPr>
              <w:t>behavioural</w:t>
            </w:r>
            <w:proofErr w:type="spellEnd"/>
            <w:r w:rsidRPr="00CA7672">
              <w:rPr>
                <w:rFonts w:asciiTheme="minorHAnsi" w:hAnsiTheme="minorHAnsi" w:cstheme="minorHAnsi"/>
                <w:color w:val="000000"/>
                <w:sz w:val="21"/>
                <w:szCs w:val="21"/>
                <w:lang w:eastAsia="en-GB"/>
              </w:rPr>
              <w:t xml:space="preserve"> plasticity to adjust to a rapid warming of the Arctic.</w:t>
            </w:r>
          </w:p>
          <w:p w14:paraId="14F98706"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lang w:eastAsia="en-GB"/>
              </w:rPr>
            </w:pPr>
          </w:p>
          <w:p w14:paraId="43BDAB79" w14:textId="77777777"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The ivory gull is vulnerable, because it is exposed to one of the highest contaminant concentrations of any Arctic seabird. However, relatively little is known about contaminant exposure in ivory gulls from Russia and Greenland. The most recent contaminant data from Svalbard are from 2014, but new data are being </w:t>
            </w:r>
            <w:proofErr w:type="spellStart"/>
            <w:r w:rsidRPr="00CA7672">
              <w:rPr>
                <w:rFonts w:asciiTheme="minorHAnsi" w:hAnsiTheme="minorHAnsi" w:cstheme="minorHAnsi"/>
                <w:color w:val="000000"/>
                <w:sz w:val="21"/>
                <w:szCs w:val="21"/>
                <w:lang w:eastAsia="en-GB"/>
              </w:rPr>
              <w:t>analysed</w:t>
            </w:r>
            <w:proofErr w:type="spellEnd"/>
            <w:r w:rsidRPr="00CA7672">
              <w:rPr>
                <w:rFonts w:asciiTheme="minorHAnsi" w:hAnsiTheme="minorHAnsi" w:cstheme="minorHAnsi"/>
                <w:color w:val="000000"/>
                <w:sz w:val="21"/>
                <w:szCs w:val="21"/>
                <w:lang w:eastAsia="en-GB"/>
              </w:rPr>
              <w:t xml:space="preserve"> (H. </w:t>
            </w:r>
            <w:r w:rsidRPr="00CA7672">
              <w:rPr>
                <w:rFonts w:asciiTheme="minorHAnsi" w:hAnsiTheme="minorHAnsi" w:cstheme="minorHAnsi"/>
                <w:color w:val="000000"/>
                <w:sz w:val="21"/>
                <w:szCs w:val="21"/>
                <w:lang w:eastAsia="en-GB"/>
              </w:rPr>
              <w:lastRenderedPageBreak/>
              <w:t xml:space="preserve">Strøm pers. comm.). The ivory gull is hard to study in the field. Therefore, it may be necessary to rely on studies of other contaminant-exposed bird species to learn about the adverse health effects these contaminants may have on ivory gulls. </w:t>
            </w:r>
          </w:p>
          <w:p w14:paraId="5E6826EF" w14:textId="77777777" w:rsidR="00645F89" w:rsidRPr="00CA7672" w:rsidRDefault="00645F89" w:rsidP="00645F89">
            <w:pPr>
              <w:tabs>
                <w:tab w:val="clear" w:pos="567"/>
              </w:tabs>
              <w:spacing w:after="150" w:line="240" w:lineRule="auto"/>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New contaminants may reach the Arctic and old contaminants may be released from the melting cryosphere. High exposure to environmental pollutants reduces body condition and impacts on the physiological mechanisms that are crucial for an individual’s ability to react to environmental change. One of the knowledge gaps that exist today is understanding how climate warming and environmental pollution interact.</w:t>
            </w:r>
          </w:p>
        </w:tc>
      </w:tr>
      <w:tr w:rsidR="00645F89" w:rsidRPr="00CA7672" w14:paraId="3A7EA0AA" w14:textId="77777777" w:rsidTr="00F51724">
        <w:tc>
          <w:tcPr>
            <w:tcW w:w="2563" w:type="dxa"/>
            <w:tcMar>
              <w:top w:w="144" w:type="dxa"/>
              <w:left w:w="115" w:type="dxa"/>
              <w:bottom w:w="144" w:type="dxa"/>
              <w:right w:w="115" w:type="dxa"/>
            </w:tcMar>
            <w:hideMark/>
          </w:tcPr>
          <w:p w14:paraId="141D3556" w14:textId="77777777" w:rsidR="00645F89" w:rsidRPr="00CA7672" w:rsidRDefault="00645F89" w:rsidP="00645F89">
            <w:pPr>
              <w:tabs>
                <w:tab w:val="clear" w:pos="567"/>
              </w:tabs>
              <w:spacing w:after="0" w:line="240" w:lineRule="auto"/>
              <w:jc w:val="left"/>
              <w:rPr>
                <w:rFonts w:asciiTheme="minorHAnsi" w:hAnsiTheme="minorHAnsi" w:cstheme="minorHAnsi"/>
                <w:color w:val="000000"/>
                <w:sz w:val="21"/>
                <w:szCs w:val="21"/>
              </w:rPr>
            </w:pPr>
            <w:r w:rsidRPr="00CA7672">
              <w:rPr>
                <w:rFonts w:asciiTheme="minorHAnsi" w:hAnsiTheme="minorHAnsi" w:cstheme="minorHAnsi"/>
                <w:color w:val="000000"/>
                <w:sz w:val="21"/>
                <w:szCs w:val="21"/>
              </w:rPr>
              <w:lastRenderedPageBreak/>
              <w:t xml:space="preserve">References </w:t>
            </w:r>
          </w:p>
        </w:tc>
        <w:tc>
          <w:tcPr>
            <w:tcW w:w="7610" w:type="dxa"/>
            <w:tcMar>
              <w:top w:w="144" w:type="dxa"/>
              <w:left w:w="115" w:type="dxa"/>
              <w:bottom w:w="144" w:type="dxa"/>
              <w:right w:w="115" w:type="dxa"/>
            </w:tcMar>
          </w:tcPr>
          <w:p w14:paraId="3F93E26F" w14:textId="77777777" w:rsidR="00645F89" w:rsidRPr="00CA7672" w:rsidRDefault="00645F89" w:rsidP="00645F89">
            <w:pPr>
              <w:tabs>
                <w:tab w:val="clear" w:pos="567"/>
              </w:tabs>
              <w:spacing w:after="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Ali, A.M., Langberg, H.A., Hale, S.E., Kallenborn, R., Hartz, W.F., Mortensen, Å.-K., Ciesielski, T.M., McDonough, C.A., Jenssen, B.M. &amp; </w:t>
            </w:r>
            <w:proofErr w:type="spellStart"/>
            <w:r w:rsidRPr="00CA7672">
              <w:rPr>
                <w:rFonts w:asciiTheme="minorHAnsi" w:hAnsiTheme="minorHAnsi" w:cstheme="minorHAnsi"/>
                <w:color w:val="000000"/>
                <w:sz w:val="21"/>
                <w:szCs w:val="21"/>
                <w:lang w:eastAsia="en-GB"/>
              </w:rPr>
              <w:t>Breedveld</w:t>
            </w:r>
            <w:proofErr w:type="spellEnd"/>
            <w:r w:rsidRPr="00CA7672">
              <w:rPr>
                <w:rFonts w:asciiTheme="minorHAnsi" w:hAnsiTheme="minorHAnsi" w:cstheme="minorHAnsi"/>
                <w:color w:val="000000"/>
                <w:sz w:val="21"/>
                <w:szCs w:val="21"/>
                <w:lang w:eastAsia="en-GB"/>
              </w:rPr>
              <w:t>, G.D. (2021). The fate of poly- and perfluoroalkyl substances in a marine food web influenced by land-based sources in the Norwegian Arctic</w:t>
            </w:r>
            <w:hyperlink r:id="rId22" w:anchor="fn1" w:tooltip="Select to navigate to footnote" w:history="1">
              <w:r w:rsidRPr="00CA7672">
                <w:rPr>
                  <w:rFonts w:asciiTheme="minorHAnsi" w:hAnsiTheme="minorHAnsi" w:cstheme="minorHAnsi"/>
                  <w:color w:val="000000"/>
                  <w:sz w:val="21"/>
                  <w:szCs w:val="21"/>
                  <w:lang w:eastAsia="en-GB"/>
                </w:rPr>
                <w:t>.</w:t>
              </w:r>
            </w:hyperlink>
            <w:r w:rsidRPr="00CA7672">
              <w:rPr>
                <w:rFonts w:asciiTheme="minorHAnsi" w:hAnsiTheme="minorHAnsi" w:cstheme="minorHAnsi"/>
                <w:color w:val="000000"/>
                <w:sz w:val="21"/>
                <w:szCs w:val="21"/>
                <w:lang w:eastAsia="en-GB"/>
              </w:rPr>
              <w:t xml:space="preserve"> Environmental Science Processes and Impacts 23 (4): 599-604. Doi: </w:t>
            </w:r>
            <w:hyperlink r:id="rId23" w:history="1">
              <w:r w:rsidRPr="00CA7672">
                <w:rPr>
                  <w:rFonts w:asciiTheme="minorHAnsi" w:hAnsiTheme="minorHAnsi" w:cstheme="minorHAnsi"/>
                  <w:color w:val="000000"/>
                  <w:sz w:val="21"/>
                  <w:szCs w:val="21"/>
                  <w:lang w:eastAsia="en-GB"/>
                </w:rPr>
                <w:t>https://doi.org/10.1039/D0EM00510J</w:t>
              </w:r>
            </w:hyperlink>
            <w:r w:rsidRPr="00CA7672">
              <w:rPr>
                <w:rFonts w:asciiTheme="minorHAnsi" w:hAnsiTheme="minorHAnsi" w:cstheme="minorHAnsi"/>
                <w:color w:val="000000"/>
                <w:sz w:val="21"/>
                <w:szCs w:val="21"/>
                <w:lang w:eastAsia="en-GB"/>
              </w:rPr>
              <w:t>.</w:t>
            </w:r>
          </w:p>
          <w:p w14:paraId="27628D06" w14:textId="77777777" w:rsidR="00645F89" w:rsidRPr="00CA7672" w:rsidRDefault="00645F89" w:rsidP="00645F89">
            <w:pPr>
              <w:tabs>
                <w:tab w:val="clear" w:pos="567"/>
              </w:tabs>
              <w:spacing w:after="0" w:line="240" w:lineRule="auto"/>
              <w:ind w:left="288" w:hanging="288"/>
              <w:jc w:val="left"/>
              <w:rPr>
                <w:rFonts w:asciiTheme="minorHAnsi" w:hAnsiTheme="minorHAnsi" w:cstheme="minorHAnsi"/>
                <w:color w:val="000000"/>
                <w:sz w:val="21"/>
                <w:szCs w:val="21"/>
                <w:lang w:eastAsia="en-GB"/>
              </w:rPr>
            </w:pPr>
          </w:p>
          <w:p w14:paraId="0AC8EAB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AMAP (2017). AMAP Assessment 2016: Chemicals of Emerging Arctic Concern. Arctic Monitoring and Assessment </w:t>
            </w:r>
            <w:proofErr w:type="spellStart"/>
            <w:r w:rsidRPr="00CA7672">
              <w:rPr>
                <w:rFonts w:asciiTheme="minorHAnsi" w:hAnsiTheme="minorHAnsi" w:cstheme="minorHAnsi"/>
                <w:color w:val="000000"/>
                <w:sz w:val="21"/>
                <w:szCs w:val="21"/>
                <w:lang w:eastAsia="en-GB"/>
              </w:rPr>
              <w:t>Programme</w:t>
            </w:r>
            <w:proofErr w:type="spellEnd"/>
            <w:r w:rsidRPr="00CA7672">
              <w:rPr>
                <w:rFonts w:asciiTheme="minorHAnsi" w:hAnsiTheme="minorHAnsi" w:cstheme="minorHAnsi"/>
                <w:color w:val="000000"/>
                <w:sz w:val="21"/>
                <w:szCs w:val="21"/>
                <w:lang w:eastAsia="en-GB"/>
              </w:rPr>
              <w:t xml:space="preserve"> (AMAP), Oslo, Norway, (pp. xvi + 353pp).</w:t>
            </w:r>
          </w:p>
          <w:p w14:paraId="58E0FF30"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Assmy</w:t>
            </w:r>
            <w:proofErr w:type="spellEnd"/>
            <w:r w:rsidRPr="00CA7672">
              <w:rPr>
                <w:rFonts w:asciiTheme="minorHAnsi" w:hAnsiTheme="minorHAnsi" w:cstheme="minorHAnsi"/>
                <w:color w:val="000000"/>
                <w:sz w:val="21"/>
                <w:szCs w:val="21"/>
                <w:lang w:eastAsia="en-GB"/>
              </w:rPr>
              <w:t xml:space="preserve">, P., </w:t>
            </w:r>
            <w:proofErr w:type="spellStart"/>
            <w:r w:rsidRPr="00CA7672">
              <w:rPr>
                <w:rFonts w:asciiTheme="minorHAnsi" w:hAnsiTheme="minorHAnsi" w:cstheme="minorHAnsi"/>
                <w:color w:val="000000"/>
                <w:sz w:val="21"/>
                <w:szCs w:val="21"/>
                <w:lang w:eastAsia="en-GB"/>
              </w:rPr>
              <w:t>Kvernvik</w:t>
            </w:r>
            <w:proofErr w:type="spellEnd"/>
            <w:r w:rsidRPr="00CA7672">
              <w:rPr>
                <w:rFonts w:asciiTheme="minorHAnsi" w:hAnsiTheme="minorHAnsi" w:cstheme="minorHAnsi"/>
                <w:color w:val="000000"/>
                <w:sz w:val="21"/>
                <w:szCs w:val="21"/>
                <w:lang w:eastAsia="en-GB"/>
              </w:rPr>
              <w:t xml:space="preserve">, A.C., Hop, H., Hoppe, C.J.M., Chierici, M., David, D.T., Duarte, P., Fransson, A., García, L.M., </w:t>
            </w:r>
            <w:proofErr w:type="spellStart"/>
            <w:r w:rsidRPr="00CA7672">
              <w:rPr>
                <w:rFonts w:asciiTheme="minorHAnsi" w:hAnsiTheme="minorHAnsi" w:cstheme="minorHAnsi"/>
                <w:color w:val="000000"/>
                <w:sz w:val="21"/>
                <w:szCs w:val="21"/>
                <w:lang w:eastAsia="en-GB"/>
              </w:rPr>
              <w:t>Patuła</w:t>
            </w:r>
            <w:proofErr w:type="spellEnd"/>
            <w:r w:rsidRPr="00CA7672">
              <w:rPr>
                <w:rFonts w:asciiTheme="minorHAnsi" w:hAnsiTheme="minorHAnsi" w:cstheme="minorHAnsi"/>
                <w:color w:val="000000"/>
                <w:sz w:val="21"/>
                <w:szCs w:val="21"/>
                <w:lang w:eastAsia="en-GB"/>
              </w:rPr>
              <w:t xml:space="preserve">, W., </w:t>
            </w:r>
            <w:proofErr w:type="spellStart"/>
            <w:r w:rsidRPr="00CA7672">
              <w:rPr>
                <w:rFonts w:asciiTheme="minorHAnsi" w:hAnsiTheme="minorHAnsi" w:cstheme="minorHAnsi"/>
                <w:color w:val="000000"/>
                <w:sz w:val="21"/>
                <w:szCs w:val="21"/>
                <w:lang w:eastAsia="en-GB"/>
              </w:rPr>
              <w:t>Kwaśniewski</w:t>
            </w:r>
            <w:proofErr w:type="spellEnd"/>
            <w:r w:rsidRPr="00CA7672">
              <w:rPr>
                <w:rFonts w:asciiTheme="minorHAnsi" w:hAnsiTheme="minorHAnsi" w:cstheme="minorHAnsi"/>
                <w:color w:val="000000"/>
                <w:sz w:val="21"/>
                <w:szCs w:val="21"/>
                <w:lang w:eastAsia="en-GB"/>
              </w:rPr>
              <w:t xml:space="preserve">, S., Maturilli, M., Pavlova, O., Tatarek, A., Wiktor, J.M., </w:t>
            </w:r>
            <w:proofErr w:type="spellStart"/>
            <w:r w:rsidRPr="00CA7672">
              <w:rPr>
                <w:rFonts w:asciiTheme="minorHAnsi" w:hAnsiTheme="minorHAnsi" w:cstheme="minorHAnsi"/>
                <w:color w:val="000000"/>
                <w:sz w:val="21"/>
                <w:szCs w:val="21"/>
                <w:lang w:eastAsia="en-GB"/>
              </w:rPr>
              <w:t>Wold</w:t>
            </w:r>
            <w:proofErr w:type="spellEnd"/>
            <w:r w:rsidRPr="00CA7672">
              <w:rPr>
                <w:rFonts w:asciiTheme="minorHAnsi" w:hAnsiTheme="minorHAnsi" w:cstheme="minorHAnsi"/>
                <w:color w:val="000000"/>
                <w:sz w:val="21"/>
                <w:szCs w:val="21"/>
                <w:lang w:eastAsia="en-GB"/>
              </w:rPr>
              <w:t xml:space="preserve">, A., Wolf, K.K.E. and Bailey, A. (2023). Seasonal plankton dynamics in </w:t>
            </w:r>
            <w:proofErr w:type="spellStart"/>
            <w:r w:rsidRPr="00CA7672">
              <w:rPr>
                <w:rFonts w:asciiTheme="minorHAnsi" w:hAnsiTheme="minorHAnsi" w:cstheme="minorHAnsi"/>
                <w:color w:val="000000"/>
                <w:sz w:val="21"/>
                <w:szCs w:val="21"/>
                <w:lang w:eastAsia="en-GB"/>
              </w:rPr>
              <w:t>Kongsfjorden</w:t>
            </w:r>
            <w:proofErr w:type="spellEnd"/>
            <w:r w:rsidRPr="00CA7672">
              <w:rPr>
                <w:rFonts w:asciiTheme="minorHAnsi" w:hAnsiTheme="minorHAnsi" w:cstheme="minorHAnsi"/>
                <w:color w:val="000000"/>
                <w:sz w:val="21"/>
                <w:szCs w:val="21"/>
                <w:lang w:eastAsia="en-GB"/>
              </w:rPr>
              <w:t xml:space="preserve"> during two years of contrasting environmental conditions. Progress in Oceanography 213: 102996. Doi: https://doi.org/10.1016/j.pocean.2023.102996.</w:t>
            </w:r>
          </w:p>
          <w:p w14:paraId="4AAAC1AF"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Bakken, V., Tertitski, G.M. (2000).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eburnaea</w:t>
            </w:r>
            <w:proofErr w:type="spellEnd"/>
            <w:r w:rsidRPr="00CA7672">
              <w:rPr>
                <w:rFonts w:asciiTheme="minorHAnsi" w:hAnsiTheme="minorHAnsi" w:cstheme="minorHAnsi"/>
                <w:color w:val="000000"/>
                <w:sz w:val="21"/>
                <w:szCs w:val="21"/>
                <w:lang w:eastAsia="en-GB"/>
              </w:rPr>
              <w:t xml:space="preserve">). In: Anker-Nilssen, T., Bakken, V., Bianki, V., Golovkein, A., Strøm, H., </w:t>
            </w:r>
            <w:proofErr w:type="spellStart"/>
            <w:r w:rsidRPr="00CA7672">
              <w:rPr>
                <w:rFonts w:asciiTheme="minorHAnsi" w:hAnsiTheme="minorHAnsi" w:cstheme="minorHAnsi"/>
                <w:color w:val="000000"/>
                <w:sz w:val="21"/>
                <w:szCs w:val="21"/>
                <w:lang w:eastAsia="en-GB"/>
              </w:rPr>
              <w:t>Tatarinkova</w:t>
            </w:r>
            <w:proofErr w:type="spellEnd"/>
            <w:r w:rsidRPr="00CA7672">
              <w:rPr>
                <w:rFonts w:asciiTheme="minorHAnsi" w:hAnsiTheme="minorHAnsi" w:cstheme="minorHAnsi"/>
                <w:color w:val="000000"/>
                <w:sz w:val="21"/>
                <w:szCs w:val="21"/>
                <w:lang w:eastAsia="en-GB"/>
              </w:rPr>
              <w:t xml:space="preserve">, L. (Eds.), The status of marine birds breeding in the Barents Sea region. Norsk </w:t>
            </w:r>
            <w:proofErr w:type="spellStart"/>
            <w:r w:rsidRPr="00CA7672">
              <w:rPr>
                <w:rFonts w:asciiTheme="minorHAnsi" w:hAnsiTheme="minorHAnsi" w:cstheme="minorHAnsi"/>
                <w:color w:val="000000"/>
                <w:sz w:val="21"/>
                <w:szCs w:val="21"/>
                <w:lang w:eastAsia="en-GB"/>
              </w:rPr>
              <w:t>Polarinstitutt</w:t>
            </w:r>
            <w:proofErr w:type="spellEnd"/>
            <w:r w:rsidRPr="00CA7672">
              <w:rPr>
                <w:rFonts w:asciiTheme="minorHAnsi" w:hAnsiTheme="minorHAnsi" w:cstheme="minorHAnsi"/>
                <w:color w:val="000000"/>
                <w:sz w:val="21"/>
                <w:szCs w:val="21"/>
                <w:lang w:eastAsia="en-GB"/>
              </w:rPr>
              <w:t xml:space="preserve">, Tromsø, Norway, pp. 104-107. </w:t>
            </w:r>
            <w:proofErr w:type="spellStart"/>
            <w:r w:rsidRPr="00CA7672">
              <w:rPr>
                <w:rFonts w:asciiTheme="minorHAnsi" w:hAnsiTheme="minorHAnsi" w:cstheme="minorHAnsi"/>
                <w:color w:val="000000"/>
                <w:sz w:val="21"/>
                <w:szCs w:val="21"/>
                <w:lang w:eastAsia="en-GB"/>
              </w:rPr>
              <w:t>Rapportserie</w:t>
            </w:r>
            <w:proofErr w:type="spellEnd"/>
            <w:r w:rsidRPr="00CA7672">
              <w:rPr>
                <w:rFonts w:asciiTheme="minorHAnsi" w:hAnsiTheme="minorHAnsi" w:cstheme="minorHAnsi"/>
                <w:color w:val="000000"/>
                <w:sz w:val="21"/>
                <w:szCs w:val="21"/>
                <w:lang w:eastAsia="en-GB"/>
              </w:rPr>
              <w:t xml:space="preserve"> no. 113.</w:t>
            </w:r>
          </w:p>
          <w:p w14:paraId="13D529F9"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proofErr w:type="spellStart"/>
            <w:proofErr w:type="gramStart"/>
            <w:r w:rsidRPr="00CA7672">
              <w:rPr>
                <w:rFonts w:asciiTheme="minorHAnsi" w:hAnsiTheme="minorHAnsi" w:cstheme="minorHAnsi"/>
                <w:color w:val="000000"/>
                <w:sz w:val="21"/>
                <w:szCs w:val="21"/>
                <w:lang w:eastAsia="en-GB"/>
              </w:rPr>
              <w:t>BirdLife</w:t>
            </w:r>
            <w:proofErr w:type="spellEnd"/>
            <w:proofErr w:type="gramEnd"/>
            <w:r w:rsidRPr="00CA7672">
              <w:rPr>
                <w:rFonts w:asciiTheme="minorHAnsi" w:hAnsiTheme="minorHAnsi" w:cstheme="minorHAnsi"/>
                <w:color w:val="000000"/>
                <w:sz w:val="21"/>
                <w:szCs w:val="21"/>
                <w:lang w:eastAsia="en-GB"/>
              </w:rPr>
              <w:t xml:space="preserve"> International (2018).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The IUCN Red List of Threatened Species 2018: e.T22694473A132555020. </w:t>
            </w:r>
            <w:r w:rsidRPr="00CA7672">
              <w:rPr>
                <w:rFonts w:asciiTheme="minorHAnsi" w:hAnsiTheme="minorHAnsi" w:cstheme="minorHAnsi"/>
                <w:color w:val="000000"/>
                <w:sz w:val="21"/>
                <w:szCs w:val="21"/>
                <w:lang w:val="nb-NO" w:eastAsia="en-GB"/>
              </w:rPr>
              <w:t>Doi: http://dx.doi.org/10.2305/IUCN.UK.2018- 2.RLTS.T22694473A132555020.en.</w:t>
            </w:r>
          </w:p>
          <w:p w14:paraId="73B7EF4D"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Boertmann, D., Olsen, K. and Nielsen, R.D. (2009). </w:t>
            </w:r>
            <w:r w:rsidRPr="00CA7672">
              <w:rPr>
                <w:rFonts w:asciiTheme="minorHAnsi" w:hAnsiTheme="minorHAnsi" w:cstheme="minorHAnsi"/>
                <w:color w:val="000000"/>
                <w:sz w:val="21"/>
                <w:szCs w:val="21"/>
                <w:lang w:eastAsia="en-GB"/>
              </w:rPr>
              <w:t xml:space="preserve">Seabirds and marine mammals in Northeast Greenland. – NERI Technical report no. 721. </w:t>
            </w:r>
            <w:hyperlink r:id="rId24" w:history="1">
              <w:r w:rsidRPr="00CA7672">
                <w:rPr>
                  <w:rFonts w:asciiTheme="minorHAnsi" w:hAnsiTheme="minorHAnsi" w:cstheme="minorHAnsi"/>
                  <w:color w:val="000000"/>
                  <w:sz w:val="21"/>
                  <w:szCs w:val="21"/>
                  <w:lang w:eastAsia="en-GB"/>
                </w:rPr>
                <w:t>http://www.dmu.dk/Pub/FR721.pdf</w:t>
              </w:r>
            </w:hyperlink>
            <w:r w:rsidRPr="00CA7672">
              <w:rPr>
                <w:rFonts w:asciiTheme="minorHAnsi" w:hAnsiTheme="minorHAnsi" w:cstheme="minorHAnsi"/>
                <w:color w:val="000000"/>
                <w:sz w:val="21"/>
                <w:szCs w:val="21"/>
                <w:lang w:eastAsia="en-GB"/>
              </w:rPr>
              <w:t>. Accessed 09.04.24.</w:t>
            </w:r>
          </w:p>
          <w:p w14:paraId="72643F80"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Boertmann, D, Olsen, K. and Gilg, O. (2010). Ivory gulls breeding on ice. Polar Record 46(1): 86-88. Doi: 10.1017/S0032247409008626.</w:t>
            </w:r>
          </w:p>
          <w:p w14:paraId="0AE50C50"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eastAsia="en-GB"/>
              </w:rPr>
              <w:t xml:space="preserve">Boertmann, D. and Nielsen, R.D. (2010). Geese, seabirds and mammals in North and Northeast Greenland. Aerial surveys in summer 2009. – NERI Technical Report no. 773. </w:t>
            </w:r>
            <w:hyperlink r:id="rId25" w:history="1">
              <w:r w:rsidRPr="00CA7672">
                <w:rPr>
                  <w:rFonts w:asciiTheme="minorHAnsi" w:hAnsiTheme="minorHAnsi" w:cstheme="minorHAnsi"/>
                  <w:color w:val="000000"/>
                  <w:sz w:val="21"/>
                  <w:szCs w:val="21"/>
                  <w:lang w:eastAsia="en-GB"/>
                </w:rPr>
                <w:t>http://www.dmu.dk/Pub/FR773.pdf</w:t>
              </w:r>
            </w:hyperlink>
            <w:r w:rsidRPr="00CA7672">
              <w:rPr>
                <w:rFonts w:asciiTheme="minorHAnsi" w:hAnsiTheme="minorHAnsi" w:cstheme="minorHAnsi"/>
                <w:color w:val="000000"/>
                <w:sz w:val="21"/>
                <w:szCs w:val="21"/>
                <w:lang w:eastAsia="en-GB"/>
              </w:rPr>
              <w:t xml:space="preserve">. </w:t>
            </w:r>
            <w:r w:rsidRPr="00CA7672">
              <w:rPr>
                <w:rFonts w:asciiTheme="minorHAnsi" w:hAnsiTheme="minorHAnsi" w:cstheme="minorHAnsi"/>
                <w:color w:val="000000"/>
                <w:sz w:val="21"/>
                <w:szCs w:val="21"/>
                <w:lang w:val="nb-NO" w:eastAsia="en-GB"/>
              </w:rPr>
              <w:t>Accessed 09.04.2024</w:t>
            </w:r>
          </w:p>
          <w:p w14:paraId="1016017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val="nb-NO" w:eastAsia="en-GB"/>
              </w:rPr>
              <w:t>Boertmann, D. and Bay, C. (2018). Grønlands Rødliste 2018 – Fortegnelse over grønlandske dyr og planters trusselstatus. – Aarhus Universitet, NatFionalt Center for Energi og Miljø (DCE) og Grønlands Naturinstitut.</w:t>
            </w:r>
          </w:p>
          <w:p w14:paraId="37426EF2"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sv-SE" w:eastAsia="en-GB"/>
              </w:rPr>
              <w:lastRenderedPageBreak/>
              <w:t xml:space="preserve">Boertmann, D., Petersen, I.K., Nielsen, H.H. and Haase, E. (2019). </w:t>
            </w:r>
            <w:r w:rsidRPr="00CA7672">
              <w:rPr>
                <w:rFonts w:asciiTheme="minorHAnsi" w:hAnsiTheme="minorHAnsi" w:cstheme="minorHAnsi"/>
                <w:color w:val="000000"/>
                <w:sz w:val="21"/>
                <w:szCs w:val="21"/>
                <w:lang w:eastAsia="en-GB"/>
              </w:rPr>
              <w:t>Ivory gull survey in Greenland 2019. Scientific Report from DCE No. 343. http://dce2.au.dk/pub/SR343.pdf. Accessed April 2024.</w:t>
            </w:r>
          </w:p>
          <w:p w14:paraId="0AA70F69"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Boertmann, D., Merkel, F.R. and Gilg, O. (2020a). </w:t>
            </w:r>
            <w:r w:rsidRPr="00CA7672">
              <w:rPr>
                <w:rFonts w:asciiTheme="minorHAnsi" w:hAnsiTheme="minorHAnsi" w:cstheme="minorHAnsi"/>
                <w:color w:val="000000"/>
                <w:sz w:val="21"/>
                <w:szCs w:val="21"/>
                <w:lang w:eastAsia="en-GB"/>
              </w:rPr>
              <w:t>Seabird breeding colonies in East and North Greenland: a baseline. Arctic 73: 20-39. Doi: 10.14430/arctic69885.</w:t>
            </w:r>
          </w:p>
          <w:p w14:paraId="4606EC49"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eastAsia="en-GB"/>
              </w:rPr>
              <w:t xml:space="preserve">Boertmann, D., Petersen, I.K. and Nielsen, H.H. (2020b). Ivory Gull population status in Greenland 2019. </w:t>
            </w:r>
            <w:r w:rsidRPr="00CA7672">
              <w:rPr>
                <w:rFonts w:asciiTheme="minorHAnsi" w:hAnsiTheme="minorHAnsi" w:cstheme="minorHAnsi"/>
                <w:color w:val="000000"/>
                <w:sz w:val="21"/>
                <w:szCs w:val="21"/>
                <w:lang w:val="nb-NO" w:eastAsia="en-GB"/>
              </w:rPr>
              <w:t>Dansk ornithologisk forenings tidsskrift 114: 141-150.</w:t>
            </w:r>
          </w:p>
          <w:p w14:paraId="12A38EC1"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Bond, A.L., Hobson, K.A., Branfireun, B.A. (2015). </w:t>
            </w:r>
            <w:r w:rsidRPr="00CA7672">
              <w:rPr>
                <w:rFonts w:asciiTheme="minorHAnsi" w:hAnsiTheme="minorHAnsi" w:cstheme="minorHAnsi"/>
                <w:color w:val="000000"/>
                <w:sz w:val="21"/>
                <w:szCs w:val="21"/>
                <w:lang w:eastAsia="en-GB"/>
              </w:rPr>
              <w:t>Rapidly increasing methyl mercury in endangered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feathers over a </w:t>
            </w:r>
            <w:proofErr w:type="gramStart"/>
            <w:r w:rsidRPr="00CA7672">
              <w:rPr>
                <w:rFonts w:asciiTheme="minorHAnsi" w:hAnsiTheme="minorHAnsi" w:cstheme="minorHAnsi"/>
                <w:color w:val="000000"/>
                <w:sz w:val="21"/>
                <w:szCs w:val="21"/>
                <w:lang w:eastAsia="en-GB"/>
              </w:rPr>
              <w:t>130 year</w:t>
            </w:r>
            <w:proofErr w:type="gramEnd"/>
            <w:r w:rsidRPr="00CA7672">
              <w:rPr>
                <w:rFonts w:asciiTheme="minorHAnsi" w:hAnsiTheme="minorHAnsi" w:cstheme="minorHAnsi"/>
                <w:color w:val="000000"/>
                <w:sz w:val="21"/>
                <w:szCs w:val="21"/>
                <w:lang w:eastAsia="en-GB"/>
              </w:rPr>
              <w:t xml:space="preserve"> record. Proceedings Royal Society London B 282: 20150032. Doi: http://dx.doi.org/10.1098/rspb.2015.0032.</w:t>
            </w:r>
          </w:p>
          <w:p w14:paraId="27A83A9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sv-SE" w:eastAsia="en-GB"/>
              </w:rPr>
              <w:t xml:space="preserve">Borgå, K., Campbell, L., Gabrielsen, G.W., Norstrom, R.J., Muir, D.C.G. and Fisk, A.T. (2006). </w:t>
            </w:r>
            <w:r w:rsidRPr="00CA7672">
              <w:rPr>
                <w:rFonts w:asciiTheme="minorHAnsi" w:hAnsiTheme="minorHAnsi" w:cstheme="minorHAnsi"/>
                <w:color w:val="000000"/>
                <w:sz w:val="21"/>
                <w:szCs w:val="21"/>
                <w:lang w:eastAsia="en-GB"/>
              </w:rPr>
              <w:t xml:space="preserve">Regional and species-specific bioaccumulation of major and trace elements in Arctic seabirds. Environmental Toxicology 25(11): 2927-2936. Doi: </w:t>
            </w:r>
            <w:hyperlink r:id="rId26" w:history="1">
              <w:r w:rsidRPr="00CA7672">
                <w:rPr>
                  <w:rFonts w:asciiTheme="minorHAnsi" w:hAnsiTheme="minorHAnsi" w:cstheme="minorHAnsi"/>
                  <w:color w:val="000000"/>
                  <w:sz w:val="21"/>
                  <w:szCs w:val="21"/>
                  <w:lang w:eastAsia="en-GB"/>
                </w:rPr>
                <w:t>https://doi.org/10.1897/05-574R1.1</w:t>
              </w:r>
            </w:hyperlink>
            <w:r w:rsidRPr="00CA7672">
              <w:rPr>
                <w:rFonts w:asciiTheme="minorHAnsi" w:hAnsiTheme="minorHAnsi" w:cstheme="minorHAnsi"/>
                <w:color w:val="000000"/>
                <w:sz w:val="21"/>
                <w:szCs w:val="21"/>
                <w:lang w:eastAsia="en-GB"/>
              </w:rPr>
              <w:t xml:space="preserve">. </w:t>
            </w:r>
          </w:p>
          <w:p w14:paraId="7BDD4AD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Braune, B.M., Mallory, M.L. and Gilchrist, H.G. (2006). Elevated mercury levels in a declining population of ivory gulls in the Canadian Arctic. Marine Pollution Bulletin 52: 969-987. Doi: </w:t>
            </w:r>
            <w:hyperlink r:id="rId27" w:tgtFrame="_blank" w:history="1">
              <w:r w:rsidRPr="00CA7672">
                <w:rPr>
                  <w:rFonts w:asciiTheme="minorHAnsi" w:hAnsiTheme="minorHAnsi" w:cstheme="minorHAnsi"/>
                  <w:color w:val="000000"/>
                  <w:sz w:val="21"/>
                  <w:szCs w:val="21"/>
                  <w:lang w:eastAsia="en-GB"/>
                </w:rPr>
                <w:t>10.1016/j.marpolbul.2006.04.013</w:t>
              </w:r>
            </w:hyperlink>
            <w:r w:rsidRPr="00CA7672">
              <w:rPr>
                <w:rFonts w:asciiTheme="minorHAnsi" w:hAnsiTheme="minorHAnsi" w:cstheme="minorHAnsi"/>
                <w:color w:val="000000"/>
                <w:sz w:val="21"/>
                <w:szCs w:val="21"/>
                <w:lang w:eastAsia="en-GB"/>
              </w:rPr>
              <w:t>.</w:t>
            </w:r>
          </w:p>
          <w:p w14:paraId="738DD21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Braune, B.M., Mallory, M.L., Gilchrist, H.G., Letcher, R.J. and Drouillard, K.G. (2007). Levels and trends of organochlorines and brominated flame retardants in ivory gull eggs from the Canadian Arctic, 1976 to 2004. Science of the Total Environment 378: 403–417. Doi: 10.1016/j.scitotenv.2007.03.003.</w:t>
            </w:r>
          </w:p>
          <w:p w14:paraId="22C23D2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Charbonnel, E., </w:t>
            </w:r>
            <w:proofErr w:type="spellStart"/>
            <w:r w:rsidRPr="00CA7672">
              <w:rPr>
                <w:rFonts w:asciiTheme="minorHAnsi" w:hAnsiTheme="minorHAnsi" w:cstheme="minorHAnsi"/>
                <w:color w:val="000000"/>
                <w:sz w:val="21"/>
                <w:szCs w:val="21"/>
                <w:lang w:eastAsia="en-GB"/>
              </w:rPr>
              <w:t>Daguin-Thiébaut</w:t>
            </w:r>
            <w:proofErr w:type="spellEnd"/>
            <w:r w:rsidRPr="00CA7672">
              <w:rPr>
                <w:rFonts w:asciiTheme="minorHAnsi" w:hAnsiTheme="minorHAnsi" w:cstheme="minorHAnsi"/>
                <w:color w:val="000000"/>
                <w:sz w:val="21"/>
                <w:szCs w:val="21"/>
                <w:lang w:eastAsia="en-GB"/>
              </w:rPr>
              <w:t xml:space="preserve">, C., Caradec, L., </w:t>
            </w:r>
            <w:proofErr w:type="spellStart"/>
            <w:r w:rsidRPr="00CA7672">
              <w:rPr>
                <w:rFonts w:asciiTheme="minorHAnsi" w:hAnsiTheme="minorHAnsi" w:cstheme="minorHAnsi"/>
                <w:color w:val="000000"/>
                <w:sz w:val="21"/>
                <w:szCs w:val="21"/>
                <w:lang w:eastAsia="en-GB"/>
              </w:rPr>
              <w:t>Moittié</w:t>
            </w:r>
            <w:proofErr w:type="spellEnd"/>
            <w:r w:rsidRPr="00CA7672">
              <w:rPr>
                <w:rFonts w:asciiTheme="minorHAnsi" w:hAnsiTheme="minorHAnsi" w:cstheme="minorHAnsi"/>
                <w:color w:val="000000"/>
                <w:sz w:val="21"/>
                <w:szCs w:val="21"/>
                <w:lang w:eastAsia="en-GB"/>
              </w:rPr>
              <w:t xml:space="preserve">, E., Gilg, O., Gavrilo, M.V., Strøm, H., Mallory, M.L., Morrison, G., Gilchrist, H.G., </w:t>
            </w:r>
            <w:proofErr w:type="spellStart"/>
            <w:r w:rsidRPr="00CA7672">
              <w:rPr>
                <w:rFonts w:asciiTheme="minorHAnsi" w:hAnsiTheme="minorHAnsi" w:cstheme="minorHAnsi"/>
                <w:color w:val="000000"/>
                <w:sz w:val="21"/>
                <w:szCs w:val="21"/>
                <w:lang w:eastAsia="en-GB"/>
              </w:rPr>
              <w:t>Leblois</w:t>
            </w:r>
            <w:proofErr w:type="spellEnd"/>
            <w:r w:rsidRPr="00CA7672">
              <w:rPr>
                <w:rFonts w:asciiTheme="minorHAnsi" w:hAnsiTheme="minorHAnsi" w:cstheme="minorHAnsi"/>
                <w:color w:val="000000"/>
                <w:sz w:val="21"/>
                <w:szCs w:val="21"/>
                <w:lang w:eastAsia="en-GB"/>
              </w:rPr>
              <w:t xml:space="preserve">, R., Roux, C., Yearsley, J.M., Yannic, G. and </w:t>
            </w:r>
            <w:proofErr w:type="spellStart"/>
            <w:r w:rsidRPr="00CA7672">
              <w:rPr>
                <w:rFonts w:asciiTheme="minorHAnsi" w:hAnsiTheme="minorHAnsi" w:cstheme="minorHAnsi"/>
                <w:color w:val="000000"/>
                <w:sz w:val="21"/>
                <w:szCs w:val="21"/>
                <w:lang w:eastAsia="en-GB"/>
              </w:rPr>
              <w:t>Broquet</w:t>
            </w:r>
            <w:proofErr w:type="spellEnd"/>
            <w:r w:rsidRPr="00CA7672">
              <w:rPr>
                <w:rFonts w:asciiTheme="minorHAnsi" w:hAnsiTheme="minorHAnsi" w:cstheme="minorHAnsi"/>
                <w:color w:val="000000"/>
                <w:sz w:val="21"/>
                <w:szCs w:val="21"/>
                <w:lang w:eastAsia="en-GB"/>
              </w:rPr>
              <w:t xml:space="preserve">, T. (2022). Searching for genetic evidence of demographic decline in an arctic seabird: beware of overlapping generations. Heredity 128: 364–376. Doi: </w:t>
            </w:r>
            <w:hyperlink r:id="rId28" w:history="1">
              <w:r w:rsidRPr="00CA7672">
                <w:rPr>
                  <w:rFonts w:asciiTheme="minorHAnsi" w:hAnsiTheme="minorHAnsi" w:cstheme="minorHAnsi"/>
                  <w:color w:val="000000"/>
                  <w:sz w:val="24"/>
                  <w:lang w:eastAsia="en-GB"/>
                </w:rPr>
                <w:t>https://doi.org/10.1038/s41437-022-00515-3</w:t>
              </w:r>
            </w:hyperlink>
            <w:r w:rsidRPr="00CA7672">
              <w:rPr>
                <w:rFonts w:asciiTheme="minorHAnsi" w:hAnsiTheme="minorHAnsi" w:cstheme="minorHAnsi"/>
                <w:color w:val="000000"/>
                <w:sz w:val="21"/>
                <w:szCs w:val="21"/>
                <w:lang w:eastAsia="en-GB"/>
              </w:rPr>
              <w:t>.</w:t>
            </w:r>
          </w:p>
          <w:p w14:paraId="10B02DC7"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Chardine</w:t>
            </w:r>
            <w:proofErr w:type="spellEnd"/>
            <w:r w:rsidRPr="00CA7672">
              <w:rPr>
                <w:rFonts w:asciiTheme="minorHAnsi" w:hAnsiTheme="minorHAnsi" w:cstheme="minorHAnsi"/>
                <w:color w:val="000000"/>
                <w:sz w:val="21"/>
                <w:szCs w:val="21"/>
                <w:lang w:eastAsia="en-GB"/>
              </w:rPr>
              <w:t>, J.D., Fontaine, A.J., Blokpoel, H., Mallory, M. and Hofmann, T. (2004).  At-sea observations of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in the eastern Canadian high Arctic in 1993 and 2002 indicate a population decline. Polar Record 40(215): 355-359. Doi: 10.1017/S0032247404003821.</w:t>
            </w:r>
          </w:p>
          <w:p w14:paraId="51D8D86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Clairbaux</w:t>
            </w:r>
            <w:proofErr w:type="spellEnd"/>
            <w:r w:rsidRPr="00CA7672">
              <w:rPr>
                <w:rFonts w:asciiTheme="minorHAnsi" w:hAnsiTheme="minorHAnsi" w:cstheme="minorHAnsi"/>
                <w:color w:val="000000"/>
                <w:sz w:val="21"/>
                <w:szCs w:val="21"/>
                <w:lang w:eastAsia="en-GB"/>
              </w:rPr>
              <w:t xml:space="preserve">, M., Fort, J. Mathewson, P., Porter, W., Strøm, H. And </w:t>
            </w:r>
            <w:proofErr w:type="spellStart"/>
            <w:r w:rsidRPr="00CA7672">
              <w:rPr>
                <w:rFonts w:asciiTheme="minorHAnsi" w:hAnsiTheme="minorHAnsi" w:cstheme="minorHAnsi"/>
                <w:color w:val="000000"/>
                <w:sz w:val="21"/>
                <w:szCs w:val="21"/>
                <w:lang w:eastAsia="en-GB"/>
              </w:rPr>
              <w:t>Grémillet</w:t>
            </w:r>
            <w:proofErr w:type="spellEnd"/>
            <w:r w:rsidRPr="00CA7672">
              <w:rPr>
                <w:rFonts w:asciiTheme="minorHAnsi" w:hAnsiTheme="minorHAnsi" w:cstheme="minorHAnsi"/>
                <w:color w:val="000000"/>
                <w:sz w:val="21"/>
                <w:szCs w:val="21"/>
                <w:lang w:eastAsia="en-GB"/>
              </w:rPr>
              <w:t>, D. 2019). Climate change could overturn bird migration: Transarctic fights and high-latitude residency in a sea ice free Arctic. Nature 9:17767. Doi: https://doi.org/10.1038/s41598-019-54228-5.</w:t>
            </w:r>
          </w:p>
          <w:p w14:paraId="06F2A83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COSEWIC (2006). Assessment and update status report on the Ivory Gull </w:t>
            </w:r>
            <w:r w:rsidRPr="00CA7672">
              <w:rPr>
                <w:rFonts w:asciiTheme="minorHAnsi" w:hAnsiTheme="minorHAnsi" w:cstheme="minorHAnsi"/>
                <w:i/>
                <w:iCs/>
                <w:color w:val="000000"/>
                <w:sz w:val="21"/>
                <w:szCs w:val="21"/>
                <w:lang w:eastAsia="en-GB"/>
              </w:rPr>
              <w:t xml:space="preserve">Pagophila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in Canada. Committee on the Status of Endangered Wildlife in Canada. Ottawa. vi + 42 pp.</w:t>
            </w:r>
          </w:p>
          <w:p w14:paraId="262CBDD8"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Descamps, S., Aars, J., </w:t>
            </w:r>
            <w:proofErr w:type="spellStart"/>
            <w:r w:rsidRPr="00CA7672">
              <w:rPr>
                <w:rFonts w:asciiTheme="minorHAnsi" w:hAnsiTheme="minorHAnsi" w:cstheme="minorHAnsi"/>
                <w:color w:val="000000"/>
                <w:sz w:val="21"/>
                <w:szCs w:val="21"/>
                <w:lang w:eastAsia="en-GB"/>
              </w:rPr>
              <w:t>Fuglei</w:t>
            </w:r>
            <w:proofErr w:type="spellEnd"/>
            <w:r w:rsidRPr="00CA7672">
              <w:rPr>
                <w:rFonts w:asciiTheme="minorHAnsi" w:hAnsiTheme="minorHAnsi" w:cstheme="minorHAnsi"/>
                <w:color w:val="000000"/>
                <w:sz w:val="21"/>
                <w:szCs w:val="21"/>
                <w:lang w:eastAsia="en-GB"/>
              </w:rPr>
              <w:t xml:space="preserve">, E., Kovacs, K.M., Lydersen, C., Pavlova, O., Pedersen, Å.Ø., </w:t>
            </w:r>
            <w:proofErr w:type="spellStart"/>
            <w:r w:rsidRPr="00CA7672">
              <w:rPr>
                <w:rFonts w:asciiTheme="minorHAnsi" w:hAnsiTheme="minorHAnsi" w:cstheme="minorHAnsi"/>
                <w:color w:val="000000"/>
                <w:sz w:val="21"/>
                <w:szCs w:val="21"/>
                <w:lang w:eastAsia="en-GB"/>
              </w:rPr>
              <w:t>Ravolainen</w:t>
            </w:r>
            <w:proofErr w:type="spellEnd"/>
            <w:r w:rsidRPr="00CA7672">
              <w:rPr>
                <w:rFonts w:asciiTheme="minorHAnsi" w:hAnsiTheme="minorHAnsi" w:cstheme="minorHAnsi"/>
                <w:color w:val="000000"/>
                <w:sz w:val="21"/>
                <w:szCs w:val="21"/>
                <w:lang w:eastAsia="en-GB"/>
              </w:rPr>
              <w:t xml:space="preserve">, V. and Strøm, H. (2017). Climate change impacts on wildlife in a High </w:t>
            </w:r>
            <w:proofErr w:type="gramStart"/>
            <w:r w:rsidRPr="00CA7672">
              <w:rPr>
                <w:rFonts w:asciiTheme="minorHAnsi" w:hAnsiTheme="minorHAnsi" w:cstheme="minorHAnsi"/>
                <w:color w:val="000000"/>
                <w:sz w:val="21"/>
                <w:szCs w:val="21"/>
                <w:lang w:eastAsia="en-GB"/>
              </w:rPr>
              <w:t>Arctic archipelago</w:t>
            </w:r>
            <w:proofErr w:type="gramEnd"/>
            <w:r w:rsidRPr="00CA7672">
              <w:rPr>
                <w:rFonts w:asciiTheme="minorHAnsi" w:hAnsiTheme="minorHAnsi" w:cstheme="minorHAnsi"/>
                <w:color w:val="000000"/>
                <w:sz w:val="21"/>
                <w:szCs w:val="21"/>
                <w:lang w:eastAsia="en-GB"/>
              </w:rPr>
              <w:t xml:space="preserve"> – Svalbard, Norway. Global Change Biology 23: 490-502. Doi: </w:t>
            </w:r>
            <w:hyperlink r:id="rId29" w:history="1">
              <w:r w:rsidRPr="00CA7672">
                <w:rPr>
                  <w:rFonts w:asciiTheme="minorHAnsi" w:hAnsiTheme="minorHAnsi" w:cstheme="minorHAnsi"/>
                  <w:color w:val="000000"/>
                  <w:sz w:val="24"/>
                  <w:lang w:eastAsia="en-GB"/>
                </w:rPr>
                <w:t>https://doi.org/10.1111/gcb.13381</w:t>
              </w:r>
            </w:hyperlink>
            <w:r w:rsidRPr="00CA7672">
              <w:rPr>
                <w:rFonts w:asciiTheme="minorHAnsi" w:hAnsiTheme="minorHAnsi" w:cstheme="minorHAnsi"/>
                <w:color w:val="000000"/>
                <w:sz w:val="21"/>
                <w:szCs w:val="21"/>
                <w:lang w:eastAsia="en-GB"/>
              </w:rPr>
              <w:t>.</w:t>
            </w:r>
          </w:p>
          <w:p w14:paraId="1D7BDC37"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Descamps, S., Strøm, H. (2021). </w:t>
            </w:r>
            <w:hyperlink r:id="rId30" w:history="1">
              <w:r w:rsidRPr="00CA7672">
                <w:rPr>
                  <w:rFonts w:asciiTheme="minorHAnsi" w:hAnsiTheme="minorHAnsi" w:cstheme="minorHAnsi"/>
                  <w:color w:val="000000"/>
                  <w:sz w:val="21"/>
                  <w:szCs w:val="21"/>
                  <w:lang w:eastAsia="en-GB"/>
                </w:rPr>
                <w:t>As the Arctic becomes boreal: ongoing shifts in a high‐Arctic seabird community</w:t>
              </w:r>
            </w:hyperlink>
            <w:r w:rsidRPr="00CA7672">
              <w:rPr>
                <w:rFonts w:asciiTheme="minorHAnsi" w:hAnsiTheme="minorHAnsi" w:cstheme="minorHAnsi"/>
                <w:color w:val="000000"/>
                <w:sz w:val="21"/>
                <w:szCs w:val="21"/>
                <w:lang w:eastAsia="en-GB"/>
              </w:rPr>
              <w:t xml:space="preserve">. Ecology 102(11): e03485. Doi: </w:t>
            </w:r>
            <w:hyperlink r:id="rId31" w:history="1">
              <w:r w:rsidRPr="00CA7672">
                <w:rPr>
                  <w:rFonts w:asciiTheme="minorHAnsi" w:hAnsiTheme="minorHAnsi" w:cstheme="minorHAnsi"/>
                  <w:color w:val="000000"/>
                  <w:sz w:val="21"/>
                  <w:szCs w:val="21"/>
                  <w:lang w:eastAsia="en-GB"/>
                </w:rPr>
                <w:t>10.1002/ecy.3485</w:t>
              </w:r>
            </w:hyperlink>
            <w:r w:rsidRPr="00CA7672">
              <w:rPr>
                <w:rFonts w:asciiTheme="minorHAnsi" w:hAnsiTheme="minorHAnsi" w:cstheme="minorHAnsi"/>
                <w:color w:val="000000"/>
                <w:sz w:val="21"/>
                <w:szCs w:val="21"/>
                <w:lang w:eastAsia="en-GB"/>
              </w:rPr>
              <w:t>.</w:t>
            </w:r>
          </w:p>
          <w:p w14:paraId="33BBEE2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Descamps, S. and </w:t>
            </w:r>
            <w:proofErr w:type="spellStart"/>
            <w:r w:rsidRPr="00CA7672">
              <w:rPr>
                <w:rFonts w:asciiTheme="minorHAnsi" w:hAnsiTheme="minorHAnsi" w:cstheme="minorHAnsi"/>
                <w:color w:val="000000"/>
                <w:sz w:val="21"/>
                <w:szCs w:val="21"/>
                <w:lang w:eastAsia="en-GB"/>
              </w:rPr>
              <w:t>Ramínez</w:t>
            </w:r>
            <w:proofErr w:type="spellEnd"/>
            <w:r w:rsidRPr="00CA7672">
              <w:rPr>
                <w:rFonts w:asciiTheme="minorHAnsi" w:hAnsiTheme="minorHAnsi" w:cstheme="minorHAnsi"/>
                <w:color w:val="000000"/>
                <w:sz w:val="21"/>
                <w:szCs w:val="21"/>
                <w:lang w:eastAsia="en-GB"/>
              </w:rPr>
              <w:t xml:space="preserve">, F. (2021). Species and spatial variation in the effects of sea ice on Arctic seabird populations. Diversity and Distributions. 27(11): 2204-2217. Doi: </w:t>
            </w:r>
            <w:hyperlink r:id="rId32" w:history="1">
              <w:r w:rsidRPr="00CA7672">
                <w:rPr>
                  <w:rFonts w:asciiTheme="minorHAnsi" w:hAnsiTheme="minorHAnsi" w:cstheme="minorHAnsi"/>
                  <w:color w:val="000000"/>
                  <w:sz w:val="21"/>
                  <w:szCs w:val="21"/>
                  <w:lang w:eastAsia="en-GB"/>
                </w:rPr>
                <w:t>https://doi.org/10.1111/ddi.13389</w:t>
              </w:r>
            </w:hyperlink>
            <w:r w:rsidRPr="00CA7672">
              <w:rPr>
                <w:rFonts w:asciiTheme="minorHAnsi" w:hAnsiTheme="minorHAnsi" w:cstheme="minorHAnsi"/>
                <w:color w:val="000000"/>
                <w:sz w:val="21"/>
                <w:szCs w:val="21"/>
                <w:lang w:eastAsia="en-GB"/>
              </w:rPr>
              <w:t>.</w:t>
            </w:r>
          </w:p>
          <w:p w14:paraId="4BACA65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Dumas, K., Gilg, O., Courbin, N., Corregidor-Castro, A., </w:t>
            </w:r>
            <w:proofErr w:type="spellStart"/>
            <w:r w:rsidRPr="00CA7672">
              <w:rPr>
                <w:rFonts w:asciiTheme="minorHAnsi" w:hAnsiTheme="minorHAnsi" w:cstheme="minorHAnsi"/>
                <w:color w:val="000000"/>
                <w:sz w:val="21"/>
                <w:szCs w:val="21"/>
                <w:lang w:eastAsia="en-GB"/>
              </w:rPr>
              <w:t>Evanno</w:t>
            </w:r>
            <w:proofErr w:type="spellEnd"/>
            <w:r w:rsidRPr="00CA7672">
              <w:rPr>
                <w:rFonts w:asciiTheme="minorHAnsi" w:hAnsiTheme="minorHAnsi" w:cstheme="minorHAnsi"/>
                <w:color w:val="000000"/>
                <w:sz w:val="21"/>
                <w:szCs w:val="21"/>
                <w:lang w:eastAsia="en-GB"/>
              </w:rPr>
              <w:t xml:space="preserve">, G., Strøm, H., Mosbech, A., Fredriksen, M., and Yannic, G. (2022). </w:t>
            </w:r>
            <w:proofErr w:type="spellStart"/>
            <w:r w:rsidRPr="00CA7672">
              <w:rPr>
                <w:rFonts w:asciiTheme="minorHAnsi" w:hAnsiTheme="minorHAnsi" w:cstheme="minorHAnsi"/>
                <w:color w:val="000000"/>
                <w:sz w:val="21"/>
                <w:szCs w:val="21"/>
                <w:lang w:eastAsia="en-GB"/>
              </w:rPr>
              <w:t>Infuence</w:t>
            </w:r>
            <w:proofErr w:type="spellEnd"/>
            <w:r w:rsidRPr="00CA7672">
              <w:rPr>
                <w:rFonts w:asciiTheme="minorHAnsi" w:hAnsiTheme="minorHAnsi" w:cstheme="minorHAnsi"/>
                <w:color w:val="000000"/>
                <w:sz w:val="21"/>
                <w:szCs w:val="21"/>
                <w:lang w:eastAsia="en-GB"/>
              </w:rPr>
              <w:t xml:space="preserve"> of </w:t>
            </w:r>
            <w:proofErr w:type="gramStart"/>
            <w:r w:rsidRPr="00CA7672">
              <w:rPr>
                <w:rFonts w:asciiTheme="minorHAnsi" w:hAnsiTheme="minorHAnsi" w:cstheme="minorHAnsi"/>
                <w:color w:val="000000"/>
                <w:sz w:val="21"/>
                <w:szCs w:val="21"/>
                <w:lang w:eastAsia="en-GB"/>
              </w:rPr>
              <w:t>sea</w:t>
            </w:r>
            <w:r w:rsidRPr="00CA7672">
              <w:rPr>
                <w:rFonts w:asciiTheme="minorHAnsi" w:hAnsiTheme="minorHAnsi" w:cstheme="minorHAnsi"/>
                <w:color w:val="000000"/>
                <w:sz w:val="21"/>
                <w:szCs w:val="21"/>
                <w:lang w:eastAsia="en-GB"/>
              </w:rPr>
              <w:noBreakHyphen/>
              <w:t>ice</w:t>
            </w:r>
            <w:r w:rsidRPr="00CA7672">
              <w:rPr>
                <w:rFonts w:asciiTheme="minorHAnsi" w:hAnsiTheme="minorHAnsi" w:cstheme="minorHAnsi"/>
                <w:color w:val="000000"/>
                <w:sz w:val="21"/>
                <w:szCs w:val="21"/>
                <w:lang w:eastAsia="en-GB"/>
              </w:rPr>
              <w:noBreakHyphen/>
            </w:r>
            <w:proofErr w:type="gramEnd"/>
            <w:r w:rsidRPr="00CA7672">
              <w:rPr>
                <w:rFonts w:asciiTheme="minorHAnsi" w:hAnsiTheme="minorHAnsi" w:cstheme="minorHAnsi"/>
                <w:color w:val="000000"/>
                <w:sz w:val="21"/>
                <w:szCs w:val="21"/>
                <w:lang w:eastAsia="en-GB"/>
              </w:rPr>
              <w:t xml:space="preserve">related features and anthropogenic subsidies on the foraging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xml:space="preserve"> of a high</w:t>
            </w:r>
            <w:r w:rsidRPr="00CA7672">
              <w:rPr>
                <w:rFonts w:asciiTheme="minorHAnsi" w:hAnsiTheme="minorHAnsi" w:cstheme="minorHAnsi"/>
                <w:color w:val="000000"/>
                <w:sz w:val="21"/>
                <w:szCs w:val="21"/>
                <w:lang w:eastAsia="en-GB"/>
              </w:rPr>
              <w:noBreakHyphen/>
              <w:t>Arctic seabird,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Marine Biology 169:151. Doi: </w:t>
            </w:r>
            <w:hyperlink r:id="rId33" w:history="1">
              <w:r w:rsidRPr="00CA7672">
                <w:rPr>
                  <w:rFonts w:asciiTheme="minorHAnsi" w:hAnsiTheme="minorHAnsi" w:cstheme="minorHAnsi"/>
                  <w:color w:val="000000"/>
                  <w:sz w:val="21"/>
                  <w:szCs w:val="21"/>
                  <w:lang w:eastAsia="en-GB"/>
                </w:rPr>
                <w:t>https://doi.org/10.1007/s00227-022-04137-5</w:t>
              </w:r>
            </w:hyperlink>
            <w:r w:rsidRPr="00CA7672">
              <w:rPr>
                <w:rFonts w:asciiTheme="minorHAnsi" w:hAnsiTheme="minorHAnsi" w:cstheme="minorHAnsi"/>
                <w:color w:val="000000"/>
                <w:sz w:val="21"/>
                <w:szCs w:val="21"/>
                <w:lang w:eastAsia="en-GB"/>
              </w:rPr>
              <w:t>.</w:t>
            </w:r>
          </w:p>
          <w:p w14:paraId="39760C5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Durant, J., Hjermann, D.Ø., Ottersen, G. and Stenseth </w:t>
            </w:r>
            <w:proofErr w:type="spellStart"/>
            <w:r w:rsidRPr="00CA7672">
              <w:rPr>
                <w:rFonts w:asciiTheme="minorHAnsi" w:hAnsiTheme="minorHAnsi" w:cstheme="minorHAnsi"/>
                <w:color w:val="000000"/>
                <w:sz w:val="21"/>
                <w:szCs w:val="21"/>
                <w:lang w:eastAsia="en-GB"/>
              </w:rPr>
              <w:t>N.Chr</w:t>
            </w:r>
            <w:proofErr w:type="spellEnd"/>
            <w:r w:rsidRPr="00CA7672">
              <w:rPr>
                <w:rFonts w:asciiTheme="minorHAnsi" w:hAnsiTheme="minorHAnsi" w:cstheme="minorHAnsi"/>
                <w:color w:val="000000"/>
                <w:sz w:val="21"/>
                <w:szCs w:val="21"/>
                <w:lang w:eastAsia="en-GB"/>
              </w:rPr>
              <w:t>. (2007). Climate and the match or mismatch between predator requirements and resource availability. Climate Research 33: 271–283. Doi: DOI:</w:t>
            </w:r>
            <w:hyperlink r:id="rId34" w:tgtFrame="_blank" w:history="1">
              <w:r w:rsidRPr="00CA7672">
                <w:rPr>
                  <w:rFonts w:asciiTheme="minorHAnsi" w:hAnsiTheme="minorHAnsi" w:cstheme="minorHAnsi"/>
                  <w:color w:val="000000"/>
                  <w:sz w:val="21"/>
                  <w:szCs w:val="21"/>
                  <w:lang w:eastAsia="en-GB"/>
                </w:rPr>
                <w:t>10.3354/cr033271</w:t>
              </w:r>
            </w:hyperlink>
            <w:r w:rsidRPr="00CA7672">
              <w:rPr>
                <w:rFonts w:asciiTheme="minorHAnsi" w:hAnsiTheme="minorHAnsi" w:cstheme="minorHAnsi"/>
                <w:color w:val="000000"/>
                <w:sz w:val="21"/>
                <w:szCs w:val="21"/>
                <w:lang w:eastAsia="en-GB"/>
              </w:rPr>
              <w:t>.</w:t>
            </w:r>
          </w:p>
          <w:p w14:paraId="00C4D41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Environment Canada (2014). Recovery Strategy for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Canada. Species at Risk Act Recovery Strategy Series. Environment Canada, Ottawa. iv+ 21 </w:t>
            </w:r>
            <w:proofErr w:type="gramStart"/>
            <w:r w:rsidRPr="00CA7672">
              <w:rPr>
                <w:rFonts w:asciiTheme="minorHAnsi" w:hAnsiTheme="minorHAnsi" w:cstheme="minorHAnsi"/>
                <w:color w:val="000000"/>
                <w:sz w:val="21"/>
                <w:szCs w:val="21"/>
                <w:lang w:eastAsia="en-GB"/>
              </w:rPr>
              <w:t>pp</w:t>
            </w:r>
            <w:proofErr w:type="gramEnd"/>
            <w:r w:rsidRPr="00CA7672">
              <w:rPr>
                <w:rFonts w:asciiTheme="minorHAnsi" w:hAnsiTheme="minorHAnsi" w:cstheme="minorHAnsi"/>
                <w:color w:val="000000"/>
                <w:sz w:val="21"/>
                <w:szCs w:val="21"/>
                <w:lang w:eastAsia="en-GB"/>
              </w:rPr>
              <w:t>.</w:t>
            </w:r>
          </w:p>
          <w:p w14:paraId="1A09C982"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Ezhov, A.V., Gavrilo, M.V., Krasnov, Y.V., Bråthen, V.S., Moe, B., </w:t>
            </w:r>
            <w:proofErr w:type="spellStart"/>
            <w:r w:rsidRPr="00CA7672">
              <w:rPr>
                <w:rFonts w:asciiTheme="minorHAnsi" w:hAnsiTheme="minorHAnsi" w:cstheme="minorHAnsi"/>
                <w:color w:val="000000"/>
                <w:sz w:val="21"/>
                <w:szCs w:val="21"/>
                <w:lang w:eastAsia="en-GB"/>
              </w:rPr>
              <w:t>Baranskaya</w:t>
            </w:r>
            <w:proofErr w:type="spellEnd"/>
            <w:r w:rsidRPr="00CA7672">
              <w:rPr>
                <w:rFonts w:asciiTheme="minorHAnsi" w:hAnsiTheme="minorHAnsi" w:cstheme="minorHAnsi"/>
                <w:color w:val="000000"/>
                <w:sz w:val="21"/>
                <w:szCs w:val="21"/>
                <w:lang w:eastAsia="en-GB"/>
              </w:rPr>
              <w:t xml:space="preserve">, A.V. and Strøm, H. (2021). Transpolar and bi-directional migration strategies of black-legged kittiwakes </w:t>
            </w:r>
            <w:r w:rsidRPr="00CA7672">
              <w:rPr>
                <w:rFonts w:asciiTheme="minorHAnsi" w:hAnsiTheme="minorHAnsi" w:cstheme="minorHAnsi"/>
                <w:i/>
                <w:iCs/>
                <w:color w:val="000000"/>
                <w:sz w:val="21"/>
                <w:szCs w:val="21"/>
                <w:lang w:eastAsia="en-GB"/>
              </w:rPr>
              <w:t>Rissa tridactyla</w:t>
            </w:r>
            <w:r w:rsidRPr="00CA7672">
              <w:rPr>
                <w:rFonts w:asciiTheme="minorHAnsi" w:hAnsiTheme="minorHAnsi" w:cstheme="minorHAnsi"/>
                <w:color w:val="000000"/>
                <w:sz w:val="21"/>
                <w:szCs w:val="21"/>
                <w:lang w:eastAsia="en-GB"/>
              </w:rPr>
              <w:t xml:space="preserve"> from a colony in Novaya Zemlya, Barents Sea, Russia. Marine Ecology Progress Series 676: 189-203. Doi: DOI:</w:t>
            </w:r>
            <w:hyperlink r:id="rId35" w:tgtFrame="_blank" w:history="1">
              <w:r w:rsidRPr="00CA7672">
                <w:rPr>
                  <w:rFonts w:asciiTheme="minorHAnsi" w:hAnsiTheme="minorHAnsi" w:cstheme="minorHAnsi"/>
                  <w:color w:val="000000"/>
                  <w:sz w:val="21"/>
                  <w:szCs w:val="21"/>
                  <w:lang w:eastAsia="en-GB"/>
                </w:rPr>
                <w:t>10.3354/meps13889</w:t>
              </w:r>
            </w:hyperlink>
            <w:r w:rsidRPr="00CA7672">
              <w:rPr>
                <w:rFonts w:asciiTheme="minorHAnsi" w:hAnsiTheme="minorHAnsi" w:cstheme="minorHAnsi"/>
                <w:color w:val="000000"/>
                <w:sz w:val="21"/>
                <w:szCs w:val="21"/>
                <w:lang w:eastAsia="en-GB"/>
              </w:rPr>
              <w:t>.</w:t>
            </w:r>
          </w:p>
          <w:p w14:paraId="04842E7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Fisk, A.T., Moisey, J. Hobson, K.A., Karnovsky, N.J. and Norstrom, R.J. (2001). Chlordane components and metabolites in seven species of Arctic seabirds from the </w:t>
            </w:r>
            <w:proofErr w:type="spellStart"/>
            <w:r w:rsidRPr="00CA7672">
              <w:rPr>
                <w:rFonts w:asciiTheme="minorHAnsi" w:hAnsiTheme="minorHAnsi" w:cstheme="minorHAnsi"/>
                <w:color w:val="000000"/>
                <w:sz w:val="21"/>
                <w:szCs w:val="21"/>
                <w:lang w:eastAsia="en-GB"/>
              </w:rPr>
              <w:t>Northwater</w:t>
            </w:r>
            <w:proofErr w:type="spellEnd"/>
            <w:r w:rsidRPr="00CA7672">
              <w:rPr>
                <w:rFonts w:asciiTheme="minorHAnsi" w:hAnsiTheme="minorHAnsi" w:cstheme="minorHAnsi"/>
                <w:color w:val="000000"/>
                <w:sz w:val="21"/>
                <w:szCs w:val="21"/>
                <w:lang w:eastAsia="en-GB"/>
              </w:rPr>
              <w:t xml:space="preserve"> Polynya: Relationships with stable isotopes of nitrogen and enantiomeric fractions of chiral components. Environmental Pollution 113(2): 2258-238. Doi: </w:t>
            </w:r>
            <w:hyperlink r:id="rId36" w:tgtFrame="_blank" w:history="1">
              <w:r w:rsidRPr="00CA7672">
                <w:rPr>
                  <w:rFonts w:asciiTheme="minorHAnsi" w:hAnsiTheme="minorHAnsi" w:cstheme="minorHAnsi"/>
                  <w:color w:val="000000"/>
                  <w:sz w:val="21"/>
                  <w:szCs w:val="21"/>
                  <w:lang w:eastAsia="en-GB"/>
                </w:rPr>
                <w:t>10.1016/S0269-7491(00)00153-6</w:t>
              </w:r>
            </w:hyperlink>
            <w:r w:rsidRPr="00CA7672">
              <w:rPr>
                <w:rFonts w:asciiTheme="minorHAnsi" w:hAnsiTheme="minorHAnsi" w:cstheme="minorHAnsi"/>
                <w:color w:val="000000"/>
                <w:sz w:val="21"/>
                <w:szCs w:val="21"/>
                <w:lang w:eastAsia="en-GB"/>
              </w:rPr>
              <w:t>.</w:t>
            </w:r>
          </w:p>
          <w:p w14:paraId="5DF7269E"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France, R.L. and Sharp, M. (1992). Newly reported colonies of ivory gulls on Southeastern Ellesmere Island. Arctic 45(3): 306-307. Doi: </w:t>
            </w:r>
            <w:hyperlink r:id="rId37" w:history="1">
              <w:r w:rsidRPr="00CA7672">
                <w:rPr>
                  <w:rFonts w:asciiTheme="minorHAnsi" w:hAnsiTheme="minorHAnsi" w:cstheme="minorHAnsi"/>
                  <w:color w:val="000000"/>
                  <w:sz w:val="21"/>
                  <w:szCs w:val="21"/>
                  <w:lang w:eastAsia="en-GB"/>
                </w:rPr>
                <w:t>https://doi.org/10.14430/arctic1406</w:t>
              </w:r>
            </w:hyperlink>
            <w:r w:rsidRPr="00CA7672">
              <w:rPr>
                <w:rFonts w:asciiTheme="minorHAnsi" w:hAnsiTheme="minorHAnsi" w:cstheme="minorHAnsi"/>
                <w:color w:val="000000"/>
                <w:sz w:val="21"/>
                <w:szCs w:val="21"/>
                <w:lang w:eastAsia="en-GB"/>
              </w:rPr>
              <w:t>.</w:t>
            </w:r>
          </w:p>
          <w:p w14:paraId="6D915100"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Frederiksen, M., Gilg, O. and Yannic, G. (2021). Cross-icecap spring migration confirmed in a high-Arctic seabird,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Ibis 163: 706-713. Doi: 10.1111/ibi.12903.</w:t>
            </w:r>
          </w:p>
          <w:p w14:paraId="7ADD6E2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Gastron</w:t>
            </w:r>
            <w:proofErr w:type="spellEnd"/>
            <w:r w:rsidRPr="00CA7672">
              <w:rPr>
                <w:rFonts w:asciiTheme="minorHAnsi" w:hAnsiTheme="minorHAnsi" w:cstheme="minorHAnsi"/>
                <w:color w:val="000000"/>
                <w:sz w:val="21"/>
                <w:szCs w:val="21"/>
                <w:lang w:eastAsia="en-GB"/>
              </w:rPr>
              <w:t xml:space="preserve">, A.J., </w:t>
            </w:r>
            <w:proofErr w:type="spellStart"/>
            <w:r w:rsidRPr="00CA7672">
              <w:rPr>
                <w:rFonts w:asciiTheme="minorHAnsi" w:hAnsiTheme="minorHAnsi" w:cstheme="minorHAnsi"/>
                <w:color w:val="000000"/>
                <w:sz w:val="21"/>
                <w:szCs w:val="21"/>
                <w:lang w:eastAsia="en-GB"/>
              </w:rPr>
              <w:t>Maollory</w:t>
            </w:r>
            <w:proofErr w:type="spellEnd"/>
            <w:r w:rsidRPr="00CA7672">
              <w:rPr>
                <w:rFonts w:asciiTheme="minorHAnsi" w:hAnsiTheme="minorHAnsi" w:cstheme="minorHAnsi"/>
                <w:color w:val="000000"/>
                <w:sz w:val="21"/>
                <w:szCs w:val="21"/>
                <w:lang w:eastAsia="en-GB"/>
              </w:rPr>
              <w:t xml:space="preserve">, M.L. and Gilchrist, H.G. (2012). Populations and trends of Canadian seabirds. Polar Biology 35: 1221-1232. Doi: 10.1007/s00300-012-1168-5. </w:t>
            </w:r>
          </w:p>
          <w:p w14:paraId="1BD893E2"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Gavrilo, M.V. and Martynova, D.M. (2017). Conservation of rare species of marine flora and fauna of the Russian Arctic National Park, included in the Red Data Book of the Russian Federation and in the IUCN red List. Nature Conservation Research 2(1): 10-42. Doi: https://doi.org/10.24189/ncr.2017.01 (in Russian with English summary).</w:t>
            </w:r>
          </w:p>
          <w:p w14:paraId="5EAE0F5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Gavrilo, M., Bakken, V., Firsova, L:, Kaliakin, V., Morozov, V., Pokrovskaya, I., and Isaksen, K: (1998). </w:t>
            </w:r>
            <w:r w:rsidRPr="00CA7672">
              <w:rPr>
                <w:rFonts w:asciiTheme="minorHAnsi" w:hAnsiTheme="minorHAnsi" w:cstheme="minorHAnsi"/>
                <w:color w:val="000000"/>
                <w:sz w:val="21"/>
                <w:szCs w:val="21"/>
                <w:lang w:eastAsia="en-GB"/>
              </w:rPr>
              <w:t>Oil vulnerability assessment for marine birds occurring along the Northern Sea Route area. - INSROP Working Paper No 97 - 1998, II-4-2, 50pp. Oslo: The Fridtjof Nansen Institute.</w:t>
            </w:r>
          </w:p>
          <w:p w14:paraId="568FF01F"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Gilchrist, H.G. and Mallory, M.L. (2005). Declines in abundance and distribution of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in Arctic Canada. Biological Conservation 121: 303-309. Doi: 10.1016/j.biocon.2004.04.021.</w:t>
            </w:r>
          </w:p>
          <w:p w14:paraId="6AFBBBD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Gilchrist, G., Strøm, H., Gavrilo, M.V., and Mosbech, A. (2008). International ivory gull conservation strategy and action plan. CAFF International Secretariat, Circumpolar Seabird Group (</w:t>
            </w:r>
            <w:proofErr w:type="spellStart"/>
            <w:r w:rsidRPr="00CA7672">
              <w:rPr>
                <w:rFonts w:asciiTheme="minorHAnsi" w:hAnsiTheme="minorHAnsi" w:cstheme="minorHAnsi"/>
                <w:color w:val="000000"/>
                <w:sz w:val="21"/>
                <w:szCs w:val="21"/>
                <w:lang w:eastAsia="en-GB"/>
              </w:rPr>
              <w:t>CBird</w:t>
            </w:r>
            <w:proofErr w:type="spellEnd"/>
            <w:r w:rsidRPr="00CA7672">
              <w:rPr>
                <w:rFonts w:asciiTheme="minorHAnsi" w:hAnsiTheme="minorHAnsi" w:cstheme="minorHAnsi"/>
                <w:color w:val="000000"/>
                <w:sz w:val="21"/>
                <w:szCs w:val="21"/>
                <w:lang w:eastAsia="en-GB"/>
              </w:rPr>
              <w:t>), CAFF technical report No.18.</w:t>
            </w:r>
          </w:p>
          <w:p w14:paraId="5661F421"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Gilg, O., Boertmann, D., Merkel, F., Aebischer, A. and Sabard, B. (2009). </w:t>
            </w:r>
            <w:r w:rsidRPr="00CA7672">
              <w:rPr>
                <w:rFonts w:asciiTheme="minorHAnsi" w:hAnsiTheme="minorHAnsi" w:cstheme="minorHAnsi"/>
                <w:color w:val="000000"/>
                <w:sz w:val="21"/>
                <w:szCs w:val="21"/>
                <w:lang w:eastAsia="en-GB"/>
              </w:rPr>
              <w:t xml:space="preserve">Status of the endangered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in Greenland. Polar Biology 32:1275–1286. Doi: 10.1007/s00300-009-0623-4.</w:t>
            </w:r>
          </w:p>
          <w:p w14:paraId="06DF8BB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Gilg, O., Strøm, H., Aebischer, A., Gavrilo, M.V., Volkov, A.E., Miljeteig, C. and </w:t>
            </w:r>
            <w:proofErr w:type="spellStart"/>
            <w:r w:rsidRPr="00CA7672">
              <w:rPr>
                <w:rFonts w:asciiTheme="minorHAnsi" w:hAnsiTheme="minorHAnsi" w:cstheme="minorHAnsi"/>
                <w:color w:val="000000"/>
                <w:sz w:val="21"/>
                <w:szCs w:val="21"/>
                <w:lang w:eastAsia="en-GB"/>
              </w:rPr>
              <w:t>Sabard</w:t>
            </w:r>
            <w:proofErr w:type="spellEnd"/>
            <w:r w:rsidRPr="00CA7672">
              <w:rPr>
                <w:rFonts w:asciiTheme="minorHAnsi" w:hAnsiTheme="minorHAnsi" w:cstheme="minorHAnsi"/>
                <w:color w:val="000000"/>
                <w:sz w:val="21"/>
                <w:szCs w:val="21"/>
                <w:lang w:eastAsia="en-GB"/>
              </w:rPr>
              <w:t>, B. (2010). Post-breeding movements of northeast Atlantic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i/>
                <w:iCs/>
                <w:color w:val="000000"/>
                <w:sz w:val="21"/>
                <w:szCs w:val="21"/>
                <w:lang w:eastAsia="en-GB"/>
              </w:rPr>
              <w:t> </w:t>
            </w:r>
            <w:r w:rsidRPr="00CA7672">
              <w:rPr>
                <w:rFonts w:asciiTheme="minorHAnsi" w:hAnsiTheme="minorHAnsi" w:cstheme="minorHAnsi"/>
                <w:color w:val="000000"/>
                <w:sz w:val="21"/>
                <w:szCs w:val="21"/>
                <w:lang w:eastAsia="en-GB"/>
              </w:rPr>
              <w:t>populations. Journal of Avian Biology 41(5): 532-542. Doi: https://doi.org/10.1111/j.1600-048X.2010.05125.x.</w:t>
            </w:r>
          </w:p>
          <w:p w14:paraId="48FF399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Gilg, O., Kovacs, K.M., Aars, J., Fort, J., Gauthier, G., </w:t>
            </w:r>
            <w:proofErr w:type="spellStart"/>
            <w:r w:rsidRPr="00CA7672">
              <w:rPr>
                <w:rFonts w:asciiTheme="minorHAnsi" w:hAnsiTheme="minorHAnsi" w:cstheme="minorHAnsi"/>
                <w:color w:val="000000"/>
                <w:sz w:val="21"/>
                <w:szCs w:val="21"/>
                <w:lang w:eastAsia="en-GB"/>
              </w:rPr>
              <w:t>Gremillet</w:t>
            </w:r>
            <w:proofErr w:type="spellEnd"/>
            <w:r w:rsidRPr="00CA7672">
              <w:rPr>
                <w:rFonts w:asciiTheme="minorHAnsi" w:hAnsiTheme="minorHAnsi" w:cstheme="minorHAnsi"/>
                <w:color w:val="000000"/>
                <w:sz w:val="21"/>
                <w:szCs w:val="21"/>
                <w:lang w:eastAsia="en-GB"/>
              </w:rPr>
              <w:t xml:space="preserve">, D., Ims, R.A., Meltofte, H., Moreau, J., Post, E., Schmidt, N.M., Yannic, G. and </w:t>
            </w:r>
            <w:proofErr w:type="spellStart"/>
            <w:r w:rsidRPr="00CA7672">
              <w:rPr>
                <w:rFonts w:asciiTheme="minorHAnsi" w:hAnsiTheme="minorHAnsi" w:cstheme="minorHAnsi"/>
                <w:color w:val="000000"/>
                <w:sz w:val="21"/>
                <w:szCs w:val="21"/>
                <w:lang w:eastAsia="en-GB"/>
              </w:rPr>
              <w:t>Bollache</w:t>
            </w:r>
            <w:proofErr w:type="spellEnd"/>
            <w:r w:rsidRPr="00CA7672">
              <w:rPr>
                <w:rFonts w:asciiTheme="minorHAnsi" w:hAnsiTheme="minorHAnsi" w:cstheme="minorHAnsi"/>
                <w:color w:val="000000"/>
                <w:sz w:val="21"/>
                <w:szCs w:val="21"/>
                <w:lang w:eastAsia="en-GB"/>
              </w:rPr>
              <w:t>, L. (2012). Climate change and the ecology and evolution of Arctic vertebrates. Annals of the New York Academy of Sciences 1249: 166–190. Doi: 10.1111/j.1749-6632.2011.06412.x.</w:t>
            </w:r>
          </w:p>
          <w:p w14:paraId="0250BDA8"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Gilg, O., Istomina, L., </w:t>
            </w:r>
            <w:proofErr w:type="spellStart"/>
            <w:r w:rsidRPr="00CA7672">
              <w:rPr>
                <w:rFonts w:asciiTheme="minorHAnsi" w:hAnsiTheme="minorHAnsi" w:cstheme="minorHAnsi"/>
                <w:color w:val="000000"/>
                <w:sz w:val="21"/>
                <w:szCs w:val="21"/>
                <w:lang w:eastAsia="en-GB"/>
              </w:rPr>
              <w:t>Heygster</w:t>
            </w:r>
            <w:proofErr w:type="spellEnd"/>
            <w:r w:rsidRPr="00CA7672">
              <w:rPr>
                <w:rFonts w:asciiTheme="minorHAnsi" w:hAnsiTheme="minorHAnsi" w:cstheme="minorHAnsi"/>
                <w:color w:val="000000"/>
                <w:sz w:val="21"/>
                <w:szCs w:val="21"/>
                <w:lang w:eastAsia="en-GB"/>
              </w:rPr>
              <w:t xml:space="preserve">, G., Strøm, H., Gavrilo, M.V., Mallory, M.L., Gilchrist, G., Aebischer, A., </w:t>
            </w:r>
            <w:proofErr w:type="spellStart"/>
            <w:r w:rsidRPr="00CA7672">
              <w:rPr>
                <w:rFonts w:asciiTheme="minorHAnsi" w:hAnsiTheme="minorHAnsi" w:cstheme="minorHAnsi"/>
                <w:color w:val="000000"/>
                <w:sz w:val="21"/>
                <w:szCs w:val="21"/>
                <w:lang w:eastAsia="en-GB"/>
              </w:rPr>
              <w:t>Sabard</w:t>
            </w:r>
            <w:proofErr w:type="spellEnd"/>
            <w:r w:rsidRPr="00CA7672">
              <w:rPr>
                <w:rFonts w:asciiTheme="minorHAnsi" w:hAnsiTheme="minorHAnsi" w:cstheme="minorHAnsi"/>
                <w:color w:val="000000"/>
                <w:sz w:val="21"/>
                <w:szCs w:val="21"/>
                <w:lang w:eastAsia="en-GB"/>
              </w:rPr>
              <w:t xml:space="preserve">, B., </w:t>
            </w:r>
            <w:proofErr w:type="spellStart"/>
            <w:r w:rsidRPr="00CA7672">
              <w:rPr>
                <w:rFonts w:asciiTheme="minorHAnsi" w:hAnsiTheme="minorHAnsi" w:cstheme="minorHAnsi"/>
                <w:color w:val="000000"/>
                <w:sz w:val="21"/>
                <w:szCs w:val="21"/>
                <w:lang w:eastAsia="en-GB"/>
              </w:rPr>
              <w:t>Huntermann</w:t>
            </w:r>
            <w:proofErr w:type="spellEnd"/>
            <w:r w:rsidRPr="00CA7672">
              <w:rPr>
                <w:rFonts w:asciiTheme="minorHAnsi" w:hAnsiTheme="minorHAnsi" w:cstheme="minorHAnsi"/>
                <w:color w:val="000000"/>
                <w:sz w:val="21"/>
                <w:szCs w:val="21"/>
                <w:lang w:eastAsia="en-GB"/>
              </w:rPr>
              <w:t>, M., Mosbech, A. and Yannic, G. (2016). Living on the edge of a shrinking habitat: the ivory gull, </w:t>
            </w:r>
            <w:proofErr w:type="spellStart"/>
            <w:r w:rsidRPr="00CA7672">
              <w:rPr>
                <w:rFonts w:asciiTheme="minorHAnsi" w:hAnsiTheme="minorHAnsi" w:cstheme="minorHAnsi"/>
                <w:color w:val="000000"/>
                <w:sz w:val="21"/>
                <w:szCs w:val="21"/>
                <w:lang w:eastAsia="en-GB"/>
              </w:rPr>
              <w:t>Pagophila</w:t>
            </w:r>
            <w:proofErr w:type="spellEnd"/>
            <w:r w:rsidRPr="00CA7672">
              <w:rPr>
                <w:rFonts w:asciiTheme="minorHAnsi" w:hAnsiTheme="minorHAnsi" w:cstheme="minorHAnsi"/>
                <w:color w:val="000000"/>
                <w:sz w:val="21"/>
                <w:szCs w:val="21"/>
                <w:lang w:eastAsia="en-GB"/>
              </w:rPr>
              <w:t xml:space="preserve"> </w:t>
            </w:r>
            <w:proofErr w:type="spellStart"/>
            <w:r w:rsidRPr="00CA7672">
              <w:rPr>
                <w:rFonts w:asciiTheme="minorHAnsi" w:hAnsiTheme="minorHAnsi" w:cstheme="minorHAnsi"/>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an endangered sea-ice specialist. Biological Letters 12: 20160277. Doi: </w:t>
            </w:r>
            <w:hyperlink r:id="rId38" w:history="1">
              <w:r w:rsidRPr="00CA7672">
                <w:rPr>
                  <w:rFonts w:asciiTheme="minorHAnsi" w:hAnsiTheme="minorHAnsi" w:cstheme="minorHAnsi"/>
                  <w:color w:val="000000"/>
                  <w:sz w:val="21"/>
                  <w:szCs w:val="21"/>
                  <w:lang w:eastAsia="en-GB"/>
                </w:rPr>
                <w:t>http://doi.org/10.1098/rsbl.2016.0277</w:t>
              </w:r>
            </w:hyperlink>
            <w:r w:rsidRPr="00CA7672">
              <w:rPr>
                <w:rFonts w:asciiTheme="minorHAnsi" w:hAnsiTheme="minorHAnsi" w:cstheme="minorHAnsi"/>
                <w:color w:val="000000"/>
                <w:sz w:val="21"/>
                <w:szCs w:val="21"/>
                <w:lang w:eastAsia="en-GB"/>
              </w:rPr>
              <w:t>.</w:t>
            </w:r>
          </w:p>
          <w:p w14:paraId="6E88962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Grémillet, D., Fort, J., </w:t>
            </w:r>
            <w:proofErr w:type="spellStart"/>
            <w:r w:rsidRPr="00CA7672">
              <w:rPr>
                <w:rFonts w:asciiTheme="minorHAnsi" w:hAnsiTheme="minorHAnsi" w:cstheme="minorHAnsi"/>
                <w:color w:val="000000"/>
                <w:sz w:val="21"/>
                <w:szCs w:val="21"/>
                <w:lang w:eastAsia="en-GB"/>
              </w:rPr>
              <w:t>Amelineau</w:t>
            </w:r>
            <w:proofErr w:type="spellEnd"/>
            <w:r w:rsidRPr="00CA7672">
              <w:rPr>
                <w:rFonts w:asciiTheme="minorHAnsi" w:hAnsiTheme="minorHAnsi" w:cstheme="minorHAnsi"/>
                <w:color w:val="000000"/>
                <w:sz w:val="21"/>
                <w:szCs w:val="21"/>
                <w:lang w:eastAsia="en-GB"/>
              </w:rPr>
              <w:t>, F., Zakharova, E., Le Bot, T., Sala, E. and Gavrilo M. (2015). Arctic warming: nonlinear impacts of sea-ice and glacier melt on seabird foraging. Global Change Biology 21: 1116–1123. Doi: 10.1111/gcb.12811.</w:t>
            </w:r>
          </w:p>
          <w:p w14:paraId="08F5DC0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Grunst, A.S., Grunst, M.L. &amp; Fort, J. (2023). Contaminant-by-environment interactive effects on animal behavior in the context of global change: Evidence from avian behavioral ecotoxicology. Science of The Total Environment 879: 163169. Doi: </w:t>
            </w:r>
            <w:hyperlink r:id="rId39" w:history="1">
              <w:r w:rsidRPr="00CA7672">
                <w:rPr>
                  <w:rFonts w:asciiTheme="minorHAnsi" w:hAnsiTheme="minorHAnsi" w:cstheme="minorHAnsi"/>
                  <w:color w:val="000000"/>
                  <w:sz w:val="21"/>
                  <w:szCs w:val="21"/>
                  <w:lang w:eastAsia="en-GB"/>
                </w:rPr>
                <w:t>https://doi.org/10.1016/j.scitotenv.2023.163169</w:t>
              </w:r>
            </w:hyperlink>
            <w:r w:rsidRPr="00CA7672">
              <w:rPr>
                <w:rFonts w:asciiTheme="minorHAnsi" w:hAnsiTheme="minorHAnsi" w:cstheme="minorHAnsi"/>
                <w:color w:val="000000"/>
                <w:sz w:val="21"/>
                <w:szCs w:val="21"/>
                <w:lang w:eastAsia="en-GB"/>
              </w:rPr>
              <w:t>.</w:t>
            </w:r>
          </w:p>
          <w:p w14:paraId="5B077C78"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Hamilton, C.D., Kovacs, K.M., Ims, R.A., Aars, J., Strøm, H. and Lydersen, C. (2017). Spatial overlap among an Arctic predator, prey and scavenger in the marginal ice zone. Marine Ecology Progress Series 573: 45-59. Doi: https://doi.org/10.3354/meps12184.</w:t>
            </w:r>
          </w:p>
          <w:p w14:paraId="493EE5B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Hung, H., Halsall, C., Ball, H., Bidleman, T., Dachs, J., De Silva, A., Hermanson, M., Kallenborn, R., Muir, D., </w:t>
            </w:r>
            <w:proofErr w:type="spellStart"/>
            <w:r w:rsidRPr="00CA7672">
              <w:rPr>
                <w:rFonts w:asciiTheme="minorHAnsi" w:hAnsiTheme="minorHAnsi" w:cstheme="minorHAnsi"/>
                <w:color w:val="000000"/>
                <w:sz w:val="21"/>
                <w:szCs w:val="21"/>
                <w:lang w:eastAsia="en-GB"/>
              </w:rPr>
              <w:t>Suhring</w:t>
            </w:r>
            <w:proofErr w:type="spellEnd"/>
            <w:r w:rsidRPr="00CA7672">
              <w:rPr>
                <w:rFonts w:asciiTheme="minorHAnsi" w:hAnsiTheme="minorHAnsi" w:cstheme="minorHAnsi"/>
                <w:color w:val="000000"/>
                <w:sz w:val="21"/>
                <w:szCs w:val="21"/>
                <w:lang w:eastAsia="en-GB"/>
              </w:rPr>
              <w:t>, R., Wang, X. &amp; Wilson, S. (2022). Climate change influence on the levels and trends of persistent organic pollutants (POPs) and chemicals of emerging Arctic concern (CEACs) in the Arctic physical environment – a review. Environmental Science Processes &amp; Impacts, 24: 1577. Doi: 10.1039/d1em00485a.</w:t>
            </w:r>
          </w:p>
          <w:p w14:paraId="0CFF09A1"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IPCC, 2021: Climate Change 2021: The Physical Science Basis. Contribution of Working Group I to the Sixth Assessment Report of the Intergovernmental Panel on Climate Change [Masson-Delmotte, V., P. Zhai, A. Pirani, S.L. Connors, C. </w:t>
            </w:r>
            <w:proofErr w:type="spellStart"/>
            <w:r w:rsidRPr="00CA7672">
              <w:rPr>
                <w:rFonts w:asciiTheme="minorHAnsi" w:hAnsiTheme="minorHAnsi" w:cstheme="minorHAnsi"/>
                <w:color w:val="000000"/>
                <w:sz w:val="21"/>
                <w:szCs w:val="21"/>
                <w:lang w:eastAsia="en-GB"/>
              </w:rPr>
              <w:t>Péan</w:t>
            </w:r>
            <w:proofErr w:type="spellEnd"/>
            <w:r w:rsidRPr="00CA7672">
              <w:rPr>
                <w:rFonts w:asciiTheme="minorHAnsi" w:hAnsiTheme="minorHAnsi" w:cstheme="minorHAnsi"/>
                <w:color w:val="000000"/>
                <w:sz w:val="21"/>
                <w:szCs w:val="21"/>
                <w:lang w:eastAsia="en-GB"/>
              </w:rPr>
              <w:t xml:space="preserve">, S. Berger, N. </w:t>
            </w:r>
            <w:proofErr w:type="spellStart"/>
            <w:r w:rsidRPr="00CA7672">
              <w:rPr>
                <w:rFonts w:asciiTheme="minorHAnsi" w:hAnsiTheme="minorHAnsi" w:cstheme="minorHAnsi"/>
                <w:color w:val="000000"/>
                <w:sz w:val="21"/>
                <w:szCs w:val="21"/>
                <w:lang w:eastAsia="en-GB"/>
              </w:rPr>
              <w:t>Caud</w:t>
            </w:r>
            <w:proofErr w:type="spellEnd"/>
            <w:r w:rsidRPr="00CA7672">
              <w:rPr>
                <w:rFonts w:asciiTheme="minorHAnsi" w:hAnsiTheme="minorHAnsi" w:cstheme="minorHAnsi"/>
                <w:color w:val="000000"/>
                <w:sz w:val="21"/>
                <w:szCs w:val="21"/>
                <w:lang w:eastAsia="en-GB"/>
              </w:rPr>
              <w:t xml:space="preserve">, Y. Chen, L. Goldfarb, M.I. Gomis, M. Huang, K. Leitzell, E. </w:t>
            </w:r>
            <w:proofErr w:type="spellStart"/>
            <w:r w:rsidRPr="00CA7672">
              <w:rPr>
                <w:rFonts w:asciiTheme="minorHAnsi" w:hAnsiTheme="minorHAnsi" w:cstheme="minorHAnsi"/>
                <w:color w:val="000000"/>
                <w:sz w:val="21"/>
                <w:szCs w:val="21"/>
                <w:lang w:eastAsia="en-GB"/>
              </w:rPr>
              <w:t>Lonnoy</w:t>
            </w:r>
            <w:proofErr w:type="spellEnd"/>
            <w:r w:rsidRPr="00CA7672">
              <w:rPr>
                <w:rFonts w:asciiTheme="minorHAnsi" w:hAnsiTheme="minorHAnsi" w:cstheme="minorHAnsi"/>
                <w:color w:val="000000"/>
                <w:sz w:val="21"/>
                <w:szCs w:val="21"/>
                <w:lang w:eastAsia="en-GB"/>
              </w:rPr>
              <w:t xml:space="preserve">, J.B.R. Matthews, T.K. Maycock, T. Waterfield, O. </w:t>
            </w:r>
            <w:proofErr w:type="spellStart"/>
            <w:r w:rsidRPr="00CA7672">
              <w:rPr>
                <w:rFonts w:asciiTheme="minorHAnsi" w:hAnsiTheme="minorHAnsi" w:cstheme="minorHAnsi"/>
                <w:color w:val="000000"/>
                <w:sz w:val="21"/>
                <w:szCs w:val="21"/>
                <w:lang w:eastAsia="en-GB"/>
              </w:rPr>
              <w:t>Yelekçi</w:t>
            </w:r>
            <w:proofErr w:type="spellEnd"/>
            <w:r w:rsidRPr="00CA7672">
              <w:rPr>
                <w:rFonts w:asciiTheme="minorHAnsi" w:hAnsiTheme="minorHAnsi" w:cstheme="minorHAnsi"/>
                <w:color w:val="000000"/>
                <w:sz w:val="21"/>
                <w:szCs w:val="21"/>
                <w:lang w:eastAsia="en-GB"/>
              </w:rPr>
              <w:t xml:space="preserve">, R. Yu, and Zhou, B. (eds.)]. </w:t>
            </w:r>
            <w:r w:rsidRPr="00CA7672">
              <w:rPr>
                <w:rFonts w:asciiTheme="minorHAnsi" w:hAnsiTheme="minorHAnsi" w:cstheme="minorHAnsi"/>
                <w:color w:val="000000"/>
                <w:sz w:val="21"/>
                <w:szCs w:val="21"/>
                <w:lang w:eastAsia="en-GB"/>
              </w:rPr>
              <w:lastRenderedPageBreak/>
              <w:t>Cambridge University Press, Cambridge, United Kingdom and New York, NY, USA, 2391 pp. Doi:10.1017/9781009157896.</w:t>
            </w:r>
          </w:p>
          <w:p w14:paraId="2F2113C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Joiris</w:t>
            </w:r>
            <w:proofErr w:type="spellEnd"/>
            <w:r w:rsidRPr="00CA7672">
              <w:rPr>
                <w:rFonts w:asciiTheme="minorHAnsi" w:hAnsiTheme="minorHAnsi" w:cstheme="minorHAnsi"/>
                <w:color w:val="000000"/>
                <w:sz w:val="21"/>
                <w:szCs w:val="21"/>
                <w:lang w:eastAsia="en-GB"/>
              </w:rPr>
              <w:t xml:space="preserve">, C.R. (2017). Drastic decrease in high Arctic gulls—ivory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and Ross’s </w:t>
            </w:r>
            <w:proofErr w:type="spellStart"/>
            <w:r w:rsidRPr="00CA7672">
              <w:rPr>
                <w:rFonts w:asciiTheme="minorHAnsi" w:hAnsiTheme="minorHAnsi" w:cstheme="minorHAnsi"/>
                <w:i/>
                <w:iCs/>
                <w:color w:val="000000"/>
                <w:sz w:val="21"/>
                <w:szCs w:val="21"/>
                <w:lang w:eastAsia="en-GB"/>
              </w:rPr>
              <w:t>Rhodostethia</w:t>
            </w:r>
            <w:proofErr w:type="spellEnd"/>
            <w:r w:rsidRPr="00CA7672">
              <w:rPr>
                <w:rFonts w:asciiTheme="minorHAnsi" w:hAnsiTheme="minorHAnsi" w:cstheme="minorHAnsi"/>
                <w:i/>
                <w:iCs/>
                <w:color w:val="000000"/>
                <w:sz w:val="21"/>
                <w:szCs w:val="21"/>
                <w:lang w:eastAsia="en-GB"/>
              </w:rPr>
              <w:t xml:space="preserve"> rosea</w:t>
            </w:r>
            <w:r w:rsidRPr="00CA7672">
              <w:rPr>
                <w:rFonts w:asciiTheme="minorHAnsi" w:hAnsiTheme="minorHAnsi" w:cstheme="minorHAnsi"/>
                <w:color w:val="000000"/>
                <w:sz w:val="21"/>
                <w:szCs w:val="21"/>
                <w:lang w:eastAsia="en-GB"/>
              </w:rPr>
              <w:t>—density in the northern Greenland Sea and Fram Strait between 1988 and 2014. Polar Biology 40: 1029-1034. Doi: 10.1007/s00300-016-2027-6.</w:t>
            </w:r>
          </w:p>
          <w:p w14:paraId="2301365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Karnovsky, N.J., Hobson, K.A., Brown, Z.W. and Hunt Jr. G.L. (2009). Distribution and Diet of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w:t>
            </w:r>
            <w:proofErr w:type="gramStart"/>
            <w:r w:rsidRPr="00CA7672">
              <w:rPr>
                <w:rFonts w:asciiTheme="minorHAnsi" w:hAnsiTheme="minorHAnsi" w:cstheme="minorHAnsi"/>
                <w:color w:val="000000"/>
                <w:sz w:val="21"/>
                <w:szCs w:val="21"/>
                <w:lang w:eastAsia="en-GB"/>
              </w:rPr>
              <w:t>the North</w:t>
            </w:r>
            <w:proofErr w:type="gramEnd"/>
            <w:r w:rsidRPr="00CA7672">
              <w:rPr>
                <w:rFonts w:asciiTheme="minorHAnsi" w:hAnsiTheme="minorHAnsi" w:cstheme="minorHAnsi"/>
                <w:color w:val="000000"/>
                <w:sz w:val="21"/>
                <w:szCs w:val="21"/>
                <w:lang w:eastAsia="en-GB"/>
              </w:rPr>
              <w:t xml:space="preserve"> Water. Arctic 62(1): 65-74. Doi: </w:t>
            </w:r>
            <w:hyperlink r:id="rId40" w:tgtFrame="_blank" w:history="1">
              <w:r w:rsidRPr="00CA7672">
                <w:rPr>
                  <w:rFonts w:asciiTheme="minorHAnsi" w:hAnsiTheme="minorHAnsi" w:cstheme="minorHAnsi"/>
                  <w:color w:val="000000"/>
                  <w:sz w:val="21"/>
                  <w:szCs w:val="21"/>
                  <w:lang w:eastAsia="en-GB"/>
                </w:rPr>
                <w:t>10.14430/arctic113</w:t>
              </w:r>
            </w:hyperlink>
            <w:r w:rsidRPr="00CA7672">
              <w:rPr>
                <w:rFonts w:asciiTheme="minorHAnsi" w:hAnsiTheme="minorHAnsi" w:cstheme="minorHAnsi"/>
                <w:color w:val="000000"/>
                <w:sz w:val="21"/>
                <w:szCs w:val="21"/>
                <w:lang w:eastAsia="en-GB"/>
              </w:rPr>
              <w:t>.</w:t>
            </w:r>
          </w:p>
          <w:p w14:paraId="008DF75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Kidawa</w:t>
            </w:r>
            <w:proofErr w:type="spellEnd"/>
            <w:r w:rsidRPr="00CA7672">
              <w:rPr>
                <w:rFonts w:asciiTheme="minorHAnsi" w:hAnsiTheme="minorHAnsi" w:cstheme="minorHAnsi"/>
                <w:color w:val="000000"/>
                <w:sz w:val="21"/>
                <w:szCs w:val="21"/>
                <w:lang w:eastAsia="en-GB"/>
              </w:rPr>
              <w:t xml:space="preserve">, D., </w:t>
            </w:r>
            <w:proofErr w:type="spellStart"/>
            <w:r w:rsidRPr="00CA7672">
              <w:rPr>
                <w:rFonts w:asciiTheme="minorHAnsi" w:hAnsiTheme="minorHAnsi" w:cstheme="minorHAnsi"/>
                <w:color w:val="000000"/>
                <w:sz w:val="21"/>
                <w:szCs w:val="21"/>
                <w:lang w:eastAsia="en-GB"/>
              </w:rPr>
              <w:t>Jakubas</w:t>
            </w:r>
            <w:proofErr w:type="spellEnd"/>
            <w:r w:rsidRPr="00CA7672">
              <w:rPr>
                <w:rFonts w:asciiTheme="minorHAnsi" w:hAnsiTheme="minorHAnsi" w:cstheme="minorHAnsi"/>
                <w:color w:val="000000"/>
                <w:sz w:val="21"/>
                <w:szCs w:val="21"/>
                <w:lang w:eastAsia="en-GB"/>
              </w:rPr>
              <w:t xml:space="preserve">, D., </w:t>
            </w:r>
            <w:proofErr w:type="spellStart"/>
            <w:r w:rsidRPr="00CA7672">
              <w:rPr>
                <w:rFonts w:asciiTheme="minorHAnsi" w:hAnsiTheme="minorHAnsi" w:cstheme="minorHAnsi"/>
                <w:color w:val="000000"/>
                <w:sz w:val="21"/>
                <w:szCs w:val="21"/>
                <w:lang w:eastAsia="en-GB"/>
              </w:rPr>
              <w:t>Wojczulanis-Jakubas</w:t>
            </w:r>
            <w:proofErr w:type="spellEnd"/>
            <w:r w:rsidRPr="00CA7672">
              <w:rPr>
                <w:rFonts w:asciiTheme="minorHAnsi" w:hAnsiTheme="minorHAnsi" w:cstheme="minorHAnsi"/>
                <w:color w:val="000000"/>
                <w:sz w:val="21"/>
                <w:szCs w:val="21"/>
                <w:lang w:eastAsia="en-GB"/>
              </w:rPr>
              <w:t xml:space="preserve">, K., Stempniewicz, L., </w:t>
            </w:r>
            <w:proofErr w:type="spellStart"/>
            <w:r w:rsidRPr="00CA7672">
              <w:rPr>
                <w:rFonts w:asciiTheme="minorHAnsi" w:hAnsiTheme="minorHAnsi" w:cstheme="minorHAnsi"/>
                <w:color w:val="000000"/>
                <w:sz w:val="21"/>
                <w:szCs w:val="21"/>
                <w:lang w:eastAsia="en-GB"/>
              </w:rPr>
              <w:t>Trudnowska</w:t>
            </w:r>
            <w:proofErr w:type="spellEnd"/>
            <w:r w:rsidRPr="00CA7672">
              <w:rPr>
                <w:rFonts w:asciiTheme="minorHAnsi" w:hAnsiTheme="minorHAnsi" w:cstheme="minorHAnsi"/>
                <w:color w:val="000000"/>
                <w:sz w:val="21"/>
                <w:szCs w:val="21"/>
                <w:lang w:eastAsia="en-GB"/>
              </w:rPr>
              <w:t xml:space="preserve">, E., Boehnke, R., Keslinka-Nawrot, L. and </w:t>
            </w:r>
            <w:proofErr w:type="spellStart"/>
            <w:r w:rsidRPr="00CA7672">
              <w:rPr>
                <w:rFonts w:asciiTheme="minorHAnsi" w:hAnsiTheme="minorHAnsi" w:cstheme="minorHAnsi"/>
                <w:color w:val="000000"/>
                <w:sz w:val="21"/>
                <w:szCs w:val="21"/>
                <w:lang w:eastAsia="en-GB"/>
              </w:rPr>
              <w:t>Błachowiak-Samołyk</w:t>
            </w:r>
            <w:proofErr w:type="spellEnd"/>
            <w:r w:rsidRPr="00CA7672">
              <w:rPr>
                <w:rFonts w:asciiTheme="minorHAnsi" w:hAnsiTheme="minorHAnsi" w:cstheme="minorHAnsi"/>
                <w:color w:val="000000"/>
                <w:sz w:val="21"/>
                <w:szCs w:val="21"/>
                <w:lang w:eastAsia="en-GB"/>
              </w:rPr>
              <w:t xml:space="preserve">, K. (2015). Parental efforts of an Arctic seabird, the little auk </w:t>
            </w:r>
            <w:r w:rsidRPr="00CA7672">
              <w:rPr>
                <w:rFonts w:asciiTheme="minorHAnsi" w:hAnsiTheme="minorHAnsi" w:cstheme="minorHAnsi"/>
                <w:i/>
                <w:iCs/>
                <w:color w:val="000000"/>
                <w:sz w:val="21"/>
                <w:szCs w:val="21"/>
                <w:lang w:eastAsia="en-GB"/>
              </w:rPr>
              <w:t xml:space="preserve">Alle </w:t>
            </w:r>
            <w:proofErr w:type="spellStart"/>
            <w:r w:rsidRPr="00CA7672">
              <w:rPr>
                <w:rFonts w:asciiTheme="minorHAnsi" w:hAnsiTheme="minorHAnsi" w:cstheme="minorHAnsi"/>
                <w:i/>
                <w:iCs/>
                <w:color w:val="000000"/>
                <w:sz w:val="21"/>
                <w:szCs w:val="21"/>
                <w:lang w:eastAsia="en-GB"/>
              </w:rPr>
              <w:t>alle</w:t>
            </w:r>
            <w:proofErr w:type="spellEnd"/>
            <w:r w:rsidRPr="00CA7672">
              <w:rPr>
                <w:rFonts w:asciiTheme="minorHAnsi" w:hAnsiTheme="minorHAnsi" w:cstheme="minorHAnsi"/>
                <w:color w:val="000000"/>
                <w:sz w:val="21"/>
                <w:szCs w:val="21"/>
                <w:lang w:eastAsia="en-GB"/>
              </w:rPr>
              <w:t xml:space="preserve">, under variable foraging conditions. Marine Biology Research 11(4): 349-360. Doi: 10.1080/17451000.2014.940974. </w:t>
            </w:r>
          </w:p>
          <w:p w14:paraId="6157126F"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Kitaysky, A.S. and Hunt, G.L. Jr. (2018). Seabird responses to a changing Bering Sea. Marine Ecology Progress Series 593: 189–194. Doi: https://doi.org/10.3354/meps12580.</w:t>
            </w:r>
          </w:p>
          <w:p w14:paraId="646B04E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Krajick</w:t>
            </w:r>
            <w:proofErr w:type="spellEnd"/>
            <w:r w:rsidRPr="00CA7672">
              <w:rPr>
                <w:rFonts w:asciiTheme="minorHAnsi" w:hAnsiTheme="minorHAnsi" w:cstheme="minorHAnsi"/>
                <w:color w:val="000000"/>
                <w:sz w:val="21"/>
                <w:szCs w:val="21"/>
                <w:lang w:eastAsia="en-GB"/>
              </w:rPr>
              <w:t xml:space="preserve">, K. (2003). In search for the ivory gull. Science 301(5641): 1840 – 1841. Doi: </w:t>
            </w:r>
            <w:hyperlink r:id="rId41" w:history="1">
              <w:r w:rsidRPr="00CA7672">
                <w:rPr>
                  <w:rFonts w:asciiTheme="minorHAnsi" w:hAnsiTheme="minorHAnsi" w:cstheme="minorHAnsi"/>
                  <w:color w:val="000000"/>
                  <w:sz w:val="21"/>
                  <w:szCs w:val="21"/>
                  <w:lang w:eastAsia="en-GB"/>
                </w:rPr>
                <w:t>10.1126/science.301.5641.184</w:t>
              </w:r>
            </w:hyperlink>
            <w:r w:rsidRPr="00CA7672">
              <w:rPr>
                <w:rFonts w:asciiTheme="minorHAnsi" w:hAnsiTheme="minorHAnsi" w:cstheme="minorHAnsi"/>
                <w:color w:val="000000"/>
                <w:sz w:val="21"/>
                <w:szCs w:val="21"/>
                <w:lang w:eastAsia="en-GB"/>
              </w:rPr>
              <w:t>o.</w:t>
            </w:r>
          </w:p>
          <w:p w14:paraId="78A77897"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Kwok, R., Cunningham, G.F., Wensnahan, M., Rigor, I., Zwally, H.J. and Yi, D. (2009). Thinning and volume loss of the </w:t>
            </w:r>
            <w:proofErr w:type="gramStart"/>
            <w:r w:rsidRPr="00CA7672">
              <w:rPr>
                <w:rFonts w:asciiTheme="minorHAnsi" w:hAnsiTheme="minorHAnsi" w:cstheme="minorHAnsi"/>
                <w:color w:val="000000"/>
                <w:sz w:val="21"/>
                <w:szCs w:val="21"/>
                <w:lang w:eastAsia="en-GB"/>
              </w:rPr>
              <w:t>Arctic Ocean sea</w:t>
            </w:r>
            <w:proofErr w:type="gramEnd"/>
            <w:r w:rsidRPr="00CA7672">
              <w:rPr>
                <w:rFonts w:asciiTheme="minorHAnsi" w:hAnsiTheme="minorHAnsi" w:cstheme="minorHAnsi"/>
                <w:color w:val="000000"/>
                <w:sz w:val="21"/>
                <w:szCs w:val="21"/>
                <w:lang w:eastAsia="en-GB"/>
              </w:rPr>
              <w:t xml:space="preserve"> ice cover: 2003–2008. Journal of Geophysical Research 114: C07005. Doi: </w:t>
            </w:r>
            <w:hyperlink r:id="rId42" w:history="1">
              <w:r w:rsidRPr="00CA7672">
                <w:rPr>
                  <w:rFonts w:asciiTheme="minorHAnsi" w:hAnsiTheme="minorHAnsi" w:cstheme="minorHAnsi"/>
                  <w:color w:val="000000"/>
                  <w:sz w:val="21"/>
                  <w:szCs w:val="21"/>
                  <w:lang w:eastAsia="en-GB"/>
                </w:rPr>
                <w:t>https://doi.org/10.1029/2009JC005312</w:t>
              </w:r>
            </w:hyperlink>
            <w:r w:rsidRPr="00CA7672">
              <w:rPr>
                <w:rFonts w:asciiTheme="minorHAnsi" w:hAnsiTheme="minorHAnsi" w:cstheme="minorHAnsi"/>
                <w:color w:val="000000"/>
                <w:sz w:val="21"/>
                <w:szCs w:val="21"/>
                <w:lang w:eastAsia="en-GB"/>
              </w:rPr>
              <w:t>.</w:t>
            </w:r>
          </w:p>
          <w:p w14:paraId="4BCA29E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Laidre, K.L., Heide-Jørgensen, M.P., Nyeland, J., Mosbech, A. and Boertmann, D. (2008). </w:t>
            </w:r>
            <w:r w:rsidRPr="00CA7672">
              <w:rPr>
                <w:rFonts w:asciiTheme="minorHAnsi" w:hAnsiTheme="minorHAnsi" w:cstheme="minorHAnsi"/>
                <w:color w:val="000000"/>
                <w:sz w:val="21"/>
                <w:szCs w:val="21"/>
                <w:lang w:eastAsia="en-GB"/>
              </w:rPr>
              <w:t>Latitudinal gradients in sea ice and primary production determine Arctic seabird colony size in Greenland. Proceedings of the Royal Society London B 275: 2695–2702. Doi:10.1098/rspb.2008.0874.</w:t>
            </w:r>
          </w:p>
          <w:p w14:paraId="25B72052"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Lee, M.M., Jaspers, V.L.B., Gabrielsen, G.W., Jenssen, B.M., Ciesielski, T.M., Mortensen, Å.-K., Lundgren, S.S. and Waugh, C.A. (2020). Evidence of avian influenza virus in seabirds breeding on a Norwegian high-</w:t>
            </w:r>
            <w:proofErr w:type="gramStart"/>
            <w:r w:rsidRPr="00CA7672">
              <w:rPr>
                <w:rFonts w:asciiTheme="minorHAnsi" w:hAnsiTheme="minorHAnsi" w:cstheme="minorHAnsi"/>
                <w:color w:val="000000"/>
                <w:sz w:val="21"/>
                <w:szCs w:val="21"/>
                <w:lang w:eastAsia="en-GB"/>
              </w:rPr>
              <w:t>Arctic archipelago</w:t>
            </w:r>
            <w:proofErr w:type="gramEnd"/>
            <w:r w:rsidRPr="00CA7672">
              <w:rPr>
                <w:rFonts w:asciiTheme="minorHAnsi" w:hAnsiTheme="minorHAnsi" w:cstheme="minorHAnsi"/>
                <w:color w:val="000000"/>
                <w:sz w:val="21"/>
                <w:szCs w:val="21"/>
                <w:lang w:eastAsia="en-GB"/>
              </w:rPr>
              <w:t>. BMC Veterinary Research 16: 48. Doi: https://doi.org/10.1186/s12917-020-2265-2.</w:t>
            </w:r>
          </w:p>
          <w:p w14:paraId="7D5FBE9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Lucia, M., </w:t>
            </w:r>
            <w:proofErr w:type="spellStart"/>
            <w:r w:rsidRPr="00CA7672">
              <w:rPr>
                <w:rFonts w:asciiTheme="minorHAnsi" w:hAnsiTheme="minorHAnsi" w:cstheme="minorHAnsi"/>
                <w:color w:val="000000"/>
                <w:sz w:val="21"/>
                <w:szCs w:val="21"/>
                <w:lang w:eastAsia="en-GB"/>
              </w:rPr>
              <w:t>Verboven</w:t>
            </w:r>
            <w:proofErr w:type="spellEnd"/>
            <w:r w:rsidRPr="00CA7672">
              <w:rPr>
                <w:rFonts w:asciiTheme="minorHAnsi" w:hAnsiTheme="minorHAnsi" w:cstheme="minorHAnsi"/>
                <w:color w:val="000000"/>
                <w:sz w:val="21"/>
                <w:szCs w:val="21"/>
                <w:lang w:eastAsia="en-GB"/>
              </w:rPr>
              <w:t>, N., Strøm, H., Miljeteig, C., Gavrilo, M.V., Braune, B.M., Boertmann, D. and Gabrielsen G.W. (2015). Circumpolar contamination in eggs of the high-Arctic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Environmental Toxicology and Chemistry 34, 1552-1561. Doi: </w:t>
            </w:r>
            <w:hyperlink r:id="rId43" w:tgtFrame="_blank" w:history="1">
              <w:r w:rsidRPr="00CA7672">
                <w:rPr>
                  <w:rFonts w:asciiTheme="minorHAnsi" w:hAnsiTheme="minorHAnsi" w:cstheme="minorHAnsi"/>
                  <w:color w:val="000000"/>
                  <w:sz w:val="21"/>
                  <w:szCs w:val="21"/>
                  <w:lang w:eastAsia="en-GB"/>
                </w:rPr>
                <w:t>10.1002/etc.2935</w:t>
              </w:r>
            </w:hyperlink>
            <w:r w:rsidRPr="00CA7672">
              <w:rPr>
                <w:rFonts w:asciiTheme="minorHAnsi" w:hAnsiTheme="minorHAnsi" w:cstheme="minorHAnsi"/>
                <w:color w:val="000000"/>
                <w:sz w:val="21"/>
                <w:szCs w:val="21"/>
                <w:lang w:eastAsia="en-GB"/>
              </w:rPr>
              <w:t>.</w:t>
            </w:r>
          </w:p>
          <w:p w14:paraId="5D2031D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Lucia, M., Strøm, H., Bustamante, P. and Gabrielsen, G.W. (2016). Trace element concentrations in relation to the trophic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xml:space="preserve"> of endangered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during their stay at a breeding site in Svalbard. Archives in Environmental Contamination and Toxicology 71: 518–529. Doi: 10.1007/s00244-016-0320-6.</w:t>
            </w:r>
          </w:p>
          <w:p w14:paraId="37244CAF"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Lucia, M., Strøm, H., Bustamante, P., </w:t>
            </w:r>
            <w:proofErr w:type="spellStart"/>
            <w:r w:rsidRPr="00CA7672">
              <w:rPr>
                <w:rFonts w:asciiTheme="minorHAnsi" w:hAnsiTheme="minorHAnsi" w:cstheme="minorHAnsi"/>
                <w:color w:val="000000"/>
                <w:sz w:val="21"/>
                <w:szCs w:val="21"/>
                <w:lang w:eastAsia="en-GB"/>
              </w:rPr>
              <w:t>Herzke</w:t>
            </w:r>
            <w:proofErr w:type="spellEnd"/>
            <w:r w:rsidRPr="00CA7672">
              <w:rPr>
                <w:rFonts w:asciiTheme="minorHAnsi" w:hAnsiTheme="minorHAnsi" w:cstheme="minorHAnsi"/>
                <w:color w:val="000000"/>
                <w:sz w:val="21"/>
                <w:szCs w:val="21"/>
                <w:lang w:eastAsia="en-GB"/>
              </w:rPr>
              <w:t>, D. and Gabrielsen, G.W. (2017). Contamination of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at four colonies in Svalbard in relation to their trophic </w:t>
            </w:r>
            <w:proofErr w:type="spellStart"/>
            <w:r w:rsidRPr="00CA7672">
              <w:rPr>
                <w:rFonts w:asciiTheme="minorHAnsi" w:hAnsiTheme="minorHAnsi" w:cstheme="minorHAnsi"/>
                <w:color w:val="000000"/>
                <w:sz w:val="21"/>
                <w:szCs w:val="21"/>
                <w:lang w:eastAsia="en-GB"/>
              </w:rPr>
              <w:t>behaviour</w:t>
            </w:r>
            <w:proofErr w:type="spellEnd"/>
            <w:r w:rsidRPr="00CA7672">
              <w:rPr>
                <w:rFonts w:asciiTheme="minorHAnsi" w:hAnsiTheme="minorHAnsi" w:cstheme="minorHAnsi"/>
                <w:color w:val="000000"/>
                <w:sz w:val="21"/>
                <w:szCs w:val="21"/>
                <w:lang w:eastAsia="en-GB"/>
              </w:rPr>
              <w:t>. Polar Biology 40: 917–929. Doi: 10.1007/s00300-016-2017-7.</w:t>
            </w:r>
          </w:p>
          <w:p w14:paraId="069EB809"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 xml:space="preserve">Lydersen, C., </w:t>
            </w:r>
            <w:proofErr w:type="spellStart"/>
            <w:r w:rsidRPr="00CA7672">
              <w:rPr>
                <w:rFonts w:asciiTheme="minorHAnsi" w:hAnsiTheme="minorHAnsi" w:cstheme="minorHAnsi"/>
                <w:color w:val="000000"/>
                <w:sz w:val="21"/>
                <w:szCs w:val="21"/>
                <w:lang w:eastAsia="en-GB"/>
              </w:rPr>
              <w:t>Assmy</w:t>
            </w:r>
            <w:proofErr w:type="spellEnd"/>
            <w:r w:rsidRPr="00CA7672">
              <w:rPr>
                <w:rFonts w:asciiTheme="minorHAnsi" w:hAnsiTheme="minorHAnsi" w:cstheme="minorHAnsi"/>
                <w:color w:val="000000"/>
                <w:sz w:val="21"/>
                <w:szCs w:val="21"/>
                <w:lang w:eastAsia="en-GB"/>
              </w:rPr>
              <w:t xml:space="preserve">, P., Falk-Petersen, S., Kohler, J., Kovacs, K.M., Reigstad, M., Steen, H., Strøm, H., </w:t>
            </w:r>
            <w:proofErr w:type="spellStart"/>
            <w:r w:rsidRPr="00CA7672">
              <w:rPr>
                <w:rFonts w:asciiTheme="minorHAnsi" w:hAnsiTheme="minorHAnsi" w:cstheme="minorHAnsi"/>
                <w:color w:val="000000"/>
                <w:sz w:val="21"/>
                <w:szCs w:val="21"/>
                <w:lang w:eastAsia="en-GB"/>
              </w:rPr>
              <w:t>Sundfjord</w:t>
            </w:r>
            <w:proofErr w:type="spellEnd"/>
            <w:r w:rsidRPr="00CA7672">
              <w:rPr>
                <w:rFonts w:asciiTheme="minorHAnsi" w:hAnsiTheme="minorHAnsi" w:cstheme="minorHAnsi"/>
                <w:color w:val="000000"/>
                <w:sz w:val="21"/>
                <w:szCs w:val="21"/>
                <w:lang w:eastAsia="en-GB"/>
              </w:rPr>
              <w:t xml:space="preserve">, A., </w:t>
            </w:r>
            <w:proofErr w:type="spellStart"/>
            <w:r w:rsidRPr="00CA7672">
              <w:rPr>
                <w:rFonts w:asciiTheme="minorHAnsi" w:hAnsiTheme="minorHAnsi" w:cstheme="minorHAnsi"/>
                <w:color w:val="000000"/>
                <w:sz w:val="21"/>
                <w:szCs w:val="21"/>
                <w:lang w:eastAsia="en-GB"/>
              </w:rPr>
              <w:t>Varpe</w:t>
            </w:r>
            <w:proofErr w:type="spellEnd"/>
            <w:r w:rsidRPr="00CA7672">
              <w:rPr>
                <w:rFonts w:asciiTheme="minorHAnsi" w:hAnsiTheme="minorHAnsi" w:cstheme="minorHAnsi"/>
                <w:color w:val="000000"/>
                <w:sz w:val="21"/>
                <w:szCs w:val="21"/>
                <w:lang w:eastAsia="en-GB"/>
              </w:rPr>
              <w:t xml:space="preserve">, Ø., </w:t>
            </w:r>
            <w:proofErr w:type="spellStart"/>
            <w:r w:rsidRPr="00CA7672">
              <w:rPr>
                <w:rFonts w:asciiTheme="minorHAnsi" w:hAnsiTheme="minorHAnsi" w:cstheme="minorHAnsi"/>
                <w:color w:val="000000"/>
                <w:sz w:val="21"/>
                <w:szCs w:val="21"/>
                <w:lang w:eastAsia="en-GB"/>
              </w:rPr>
              <w:t>Walczowski</w:t>
            </w:r>
            <w:proofErr w:type="spellEnd"/>
            <w:r w:rsidRPr="00CA7672">
              <w:rPr>
                <w:rFonts w:asciiTheme="minorHAnsi" w:hAnsiTheme="minorHAnsi" w:cstheme="minorHAnsi"/>
                <w:color w:val="000000"/>
                <w:sz w:val="21"/>
                <w:szCs w:val="21"/>
                <w:lang w:eastAsia="en-GB"/>
              </w:rPr>
              <w:t xml:space="preserve">, W., </w:t>
            </w:r>
            <w:proofErr w:type="spellStart"/>
            <w:r w:rsidRPr="00CA7672">
              <w:rPr>
                <w:rFonts w:asciiTheme="minorHAnsi" w:hAnsiTheme="minorHAnsi" w:cstheme="minorHAnsi"/>
                <w:color w:val="000000"/>
                <w:sz w:val="21"/>
                <w:szCs w:val="21"/>
                <w:lang w:eastAsia="en-GB"/>
              </w:rPr>
              <w:t>Weslawski</w:t>
            </w:r>
            <w:proofErr w:type="spellEnd"/>
            <w:r w:rsidRPr="00CA7672">
              <w:rPr>
                <w:rFonts w:asciiTheme="minorHAnsi" w:hAnsiTheme="minorHAnsi" w:cstheme="minorHAnsi"/>
                <w:color w:val="000000"/>
                <w:sz w:val="21"/>
                <w:szCs w:val="21"/>
                <w:lang w:eastAsia="en-GB"/>
              </w:rPr>
              <w:t>, J.M. and Zajaczkowski, M. (2014). The importance of tidewater glaciers for marine mammals and seabirds in Svalbard, Norway. Journal of Marine Systems 129 (2014) 452–471. Doi: http://dx.doi.org/10.1016/j.jmarsys.2013.09.006.</w:t>
            </w:r>
          </w:p>
          <w:p w14:paraId="1206D84F"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Macias-Fauria, M. and Post, E. (2018). Effects of sea ice on Arctic biota: an emerging crisis discipline. Biological Letters 14: 20170702. </w:t>
            </w:r>
            <w:hyperlink r:id="rId44" w:history="1">
              <w:r w:rsidRPr="00CA7672">
                <w:rPr>
                  <w:rFonts w:asciiTheme="minorHAnsi" w:hAnsiTheme="minorHAnsi" w:cstheme="minorHAnsi"/>
                  <w:color w:val="000000"/>
                  <w:sz w:val="21"/>
                  <w:szCs w:val="21"/>
                  <w:lang w:eastAsia="en-GB"/>
                </w:rPr>
                <w:t>http://dx.doi.org/10.1098/rsbl.2017.070</w:t>
              </w:r>
            </w:hyperlink>
            <w:r w:rsidRPr="00CA7672">
              <w:rPr>
                <w:rFonts w:asciiTheme="minorHAnsi" w:hAnsiTheme="minorHAnsi" w:cstheme="minorHAnsi"/>
                <w:color w:val="000000"/>
                <w:sz w:val="21"/>
                <w:szCs w:val="21"/>
                <w:lang w:eastAsia="en-GB"/>
              </w:rPr>
              <w:t>.</w:t>
            </w:r>
          </w:p>
          <w:p w14:paraId="2BA51A87"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Mallory, M.L., Gilchrist, H.G., Fontaine, A.J. and </w:t>
            </w:r>
            <w:proofErr w:type="spellStart"/>
            <w:r w:rsidRPr="00CA7672">
              <w:rPr>
                <w:rFonts w:asciiTheme="minorHAnsi" w:hAnsiTheme="minorHAnsi" w:cstheme="minorHAnsi"/>
                <w:color w:val="000000"/>
                <w:sz w:val="21"/>
                <w:szCs w:val="21"/>
                <w:lang w:eastAsia="en-GB"/>
              </w:rPr>
              <w:t>Akearok</w:t>
            </w:r>
            <w:proofErr w:type="spellEnd"/>
            <w:r w:rsidRPr="00CA7672">
              <w:rPr>
                <w:rFonts w:asciiTheme="minorHAnsi" w:hAnsiTheme="minorHAnsi" w:cstheme="minorHAnsi"/>
                <w:color w:val="000000"/>
                <w:sz w:val="21"/>
                <w:szCs w:val="21"/>
                <w:lang w:eastAsia="en-GB"/>
              </w:rPr>
              <w:t xml:space="preserve">, J.A. (2003). Local ecological knowledge of ivory gull declines in Arctic Canada. Arctic 56(3): 293-298. Doi: </w:t>
            </w:r>
            <w:hyperlink r:id="rId45" w:tgtFrame="_blank" w:history="1">
              <w:r w:rsidRPr="00CA7672">
                <w:rPr>
                  <w:rFonts w:asciiTheme="minorHAnsi" w:hAnsiTheme="minorHAnsi" w:cstheme="minorHAnsi"/>
                  <w:color w:val="000000"/>
                  <w:sz w:val="24"/>
                  <w:lang w:eastAsia="en-GB"/>
                </w:rPr>
                <w:t>10.5751/ES-01972-1201r01</w:t>
              </w:r>
            </w:hyperlink>
            <w:r w:rsidRPr="00CA7672">
              <w:rPr>
                <w:rFonts w:asciiTheme="minorHAnsi" w:hAnsiTheme="minorHAnsi" w:cstheme="minorHAnsi"/>
                <w:color w:val="000000"/>
                <w:sz w:val="21"/>
                <w:szCs w:val="21"/>
                <w:lang w:eastAsia="en-GB"/>
              </w:rPr>
              <w:t>.</w:t>
            </w:r>
          </w:p>
          <w:p w14:paraId="77F77FF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Mallory, M.L., Allard, A., Braune, B.M., Gilchrist, G.H. and Thomas, V.G. (2012). New longevity record for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and evidence for natal philopatry. Arctic 65(1): 98-101. Doi: </w:t>
            </w:r>
            <w:hyperlink r:id="rId46" w:tgtFrame="_blank" w:history="1">
              <w:r w:rsidRPr="00CA7672">
                <w:rPr>
                  <w:rFonts w:asciiTheme="minorHAnsi" w:hAnsiTheme="minorHAnsi" w:cstheme="minorHAnsi"/>
                  <w:color w:val="000000"/>
                  <w:sz w:val="24"/>
                  <w:lang w:eastAsia="en-GB"/>
                </w:rPr>
                <w:t>10.14430/arctic4169</w:t>
              </w:r>
            </w:hyperlink>
            <w:r w:rsidRPr="00CA7672">
              <w:rPr>
                <w:rFonts w:asciiTheme="minorHAnsi" w:hAnsiTheme="minorHAnsi" w:cstheme="minorHAnsi"/>
                <w:color w:val="000000"/>
                <w:sz w:val="21"/>
                <w:szCs w:val="21"/>
                <w:lang w:eastAsia="en-GB"/>
              </w:rPr>
              <w:t>.</w:t>
            </w:r>
          </w:p>
          <w:p w14:paraId="6CF5E9A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eastAsia="en-GB"/>
              </w:rPr>
              <w:t xml:space="preserve">Meredith, M., </w:t>
            </w:r>
            <w:proofErr w:type="spellStart"/>
            <w:r w:rsidRPr="00CA7672">
              <w:rPr>
                <w:rFonts w:asciiTheme="minorHAnsi" w:hAnsiTheme="minorHAnsi" w:cstheme="minorHAnsi"/>
                <w:color w:val="000000"/>
                <w:sz w:val="21"/>
                <w:szCs w:val="21"/>
                <w:lang w:eastAsia="en-GB"/>
              </w:rPr>
              <w:t>Sommerkorn</w:t>
            </w:r>
            <w:proofErr w:type="spellEnd"/>
            <w:r w:rsidRPr="00CA7672">
              <w:rPr>
                <w:rFonts w:asciiTheme="minorHAnsi" w:hAnsiTheme="minorHAnsi" w:cstheme="minorHAnsi"/>
                <w:color w:val="000000"/>
                <w:sz w:val="21"/>
                <w:szCs w:val="21"/>
                <w:lang w:eastAsia="en-GB"/>
              </w:rPr>
              <w:t xml:space="preserve">, M., Cassotta, S., Derksen, C., Ekaykin, A., Hollowed, A., </w:t>
            </w:r>
            <w:proofErr w:type="spellStart"/>
            <w:r w:rsidRPr="00CA7672">
              <w:rPr>
                <w:rFonts w:asciiTheme="minorHAnsi" w:hAnsiTheme="minorHAnsi" w:cstheme="minorHAnsi"/>
                <w:color w:val="000000"/>
                <w:sz w:val="21"/>
                <w:szCs w:val="21"/>
                <w:lang w:eastAsia="en-GB"/>
              </w:rPr>
              <w:t>Kofinas</w:t>
            </w:r>
            <w:proofErr w:type="spellEnd"/>
            <w:r w:rsidRPr="00CA7672">
              <w:rPr>
                <w:rFonts w:asciiTheme="minorHAnsi" w:hAnsiTheme="minorHAnsi" w:cstheme="minorHAnsi"/>
                <w:color w:val="000000"/>
                <w:sz w:val="21"/>
                <w:szCs w:val="21"/>
                <w:lang w:eastAsia="en-GB"/>
              </w:rPr>
              <w:t xml:space="preserve">, G., Mackintosh, A., Melbourne-Thomas, J., </w:t>
            </w:r>
            <w:proofErr w:type="spellStart"/>
            <w:r w:rsidRPr="00CA7672">
              <w:rPr>
                <w:rFonts w:asciiTheme="minorHAnsi" w:hAnsiTheme="minorHAnsi" w:cstheme="minorHAnsi"/>
                <w:color w:val="000000"/>
                <w:sz w:val="21"/>
                <w:szCs w:val="21"/>
                <w:lang w:eastAsia="en-GB"/>
              </w:rPr>
              <w:t>Muelbert</w:t>
            </w:r>
            <w:proofErr w:type="spellEnd"/>
            <w:r w:rsidRPr="00CA7672">
              <w:rPr>
                <w:rFonts w:asciiTheme="minorHAnsi" w:hAnsiTheme="minorHAnsi" w:cstheme="minorHAnsi"/>
                <w:color w:val="000000"/>
                <w:sz w:val="21"/>
                <w:szCs w:val="21"/>
                <w:lang w:eastAsia="en-GB"/>
              </w:rPr>
              <w:t xml:space="preserve">, M.M.C., Ottersen, G., Pritchard, H. and Schuur, E.A.G. (2019). Polar Regions. In: IPCC Special report on the ocean and cryosphere in a changing climate [H.-O. </w:t>
            </w:r>
            <w:proofErr w:type="spellStart"/>
            <w:r w:rsidRPr="00CA7672">
              <w:rPr>
                <w:rFonts w:asciiTheme="minorHAnsi" w:hAnsiTheme="minorHAnsi" w:cstheme="minorHAnsi"/>
                <w:color w:val="000000"/>
                <w:sz w:val="21"/>
                <w:szCs w:val="21"/>
                <w:lang w:eastAsia="en-GB"/>
              </w:rPr>
              <w:t>Pörtner</w:t>
            </w:r>
            <w:proofErr w:type="spellEnd"/>
            <w:r w:rsidRPr="00CA7672">
              <w:rPr>
                <w:rFonts w:asciiTheme="minorHAnsi" w:hAnsiTheme="minorHAnsi" w:cstheme="minorHAnsi"/>
                <w:color w:val="000000"/>
                <w:sz w:val="21"/>
                <w:szCs w:val="21"/>
                <w:lang w:eastAsia="en-GB"/>
              </w:rPr>
              <w:t xml:space="preserve">, D.C. Roberts, V. Masson-Delmotte, P. Zhai, M. Tignor, E. </w:t>
            </w:r>
            <w:proofErr w:type="spellStart"/>
            <w:r w:rsidRPr="00CA7672">
              <w:rPr>
                <w:rFonts w:asciiTheme="minorHAnsi" w:hAnsiTheme="minorHAnsi" w:cstheme="minorHAnsi"/>
                <w:color w:val="000000"/>
                <w:sz w:val="21"/>
                <w:szCs w:val="21"/>
                <w:lang w:eastAsia="en-GB"/>
              </w:rPr>
              <w:t>Poloczanska</w:t>
            </w:r>
            <w:proofErr w:type="spellEnd"/>
            <w:r w:rsidRPr="00CA7672">
              <w:rPr>
                <w:rFonts w:asciiTheme="minorHAnsi" w:hAnsiTheme="minorHAnsi" w:cstheme="minorHAnsi"/>
                <w:color w:val="000000"/>
                <w:sz w:val="21"/>
                <w:szCs w:val="21"/>
                <w:lang w:eastAsia="en-GB"/>
              </w:rPr>
              <w:t xml:space="preserve">, K. </w:t>
            </w:r>
            <w:proofErr w:type="spellStart"/>
            <w:r w:rsidRPr="00CA7672">
              <w:rPr>
                <w:rFonts w:asciiTheme="minorHAnsi" w:hAnsiTheme="minorHAnsi" w:cstheme="minorHAnsi"/>
                <w:color w:val="000000"/>
                <w:sz w:val="21"/>
                <w:szCs w:val="21"/>
                <w:lang w:eastAsia="en-GB"/>
              </w:rPr>
              <w:t>Mintenbeck</w:t>
            </w:r>
            <w:proofErr w:type="spellEnd"/>
            <w:r w:rsidRPr="00CA7672">
              <w:rPr>
                <w:rFonts w:asciiTheme="minorHAnsi" w:hAnsiTheme="minorHAnsi" w:cstheme="minorHAnsi"/>
                <w:color w:val="000000"/>
                <w:sz w:val="21"/>
                <w:szCs w:val="21"/>
                <w:lang w:eastAsia="en-GB"/>
              </w:rPr>
              <w:t xml:space="preserve">, A. Alegría, M. Nicolai, A. </w:t>
            </w:r>
            <w:proofErr w:type="spellStart"/>
            <w:r w:rsidRPr="00CA7672">
              <w:rPr>
                <w:rFonts w:asciiTheme="minorHAnsi" w:hAnsiTheme="minorHAnsi" w:cstheme="minorHAnsi"/>
                <w:color w:val="000000"/>
                <w:sz w:val="21"/>
                <w:szCs w:val="21"/>
                <w:lang w:eastAsia="en-GB"/>
              </w:rPr>
              <w:t>Okem</w:t>
            </w:r>
            <w:proofErr w:type="spellEnd"/>
            <w:r w:rsidRPr="00CA7672">
              <w:rPr>
                <w:rFonts w:asciiTheme="minorHAnsi" w:hAnsiTheme="minorHAnsi" w:cstheme="minorHAnsi"/>
                <w:color w:val="000000"/>
                <w:sz w:val="21"/>
                <w:szCs w:val="21"/>
                <w:lang w:eastAsia="en-GB"/>
              </w:rPr>
              <w:t xml:space="preserve">, J. Petzold, B. Rama, N.M. Weyer (eds.)]. Cambridge University Press, Cambridge, UK and New York, NY, USA, pp. 203-320. </w:t>
            </w:r>
            <w:hyperlink r:id="rId47" w:history="1">
              <w:r w:rsidRPr="00CA7672">
                <w:rPr>
                  <w:rFonts w:asciiTheme="minorHAnsi" w:hAnsiTheme="minorHAnsi" w:cstheme="minorHAnsi"/>
                  <w:color w:val="000000"/>
                  <w:sz w:val="21"/>
                  <w:szCs w:val="21"/>
                  <w:lang w:val="nb-NO" w:eastAsia="en-GB"/>
                </w:rPr>
                <w:t>https://doi.org/10.1017/9781009157964.005</w:t>
              </w:r>
            </w:hyperlink>
            <w:r w:rsidRPr="00CA7672">
              <w:rPr>
                <w:rFonts w:asciiTheme="minorHAnsi" w:hAnsiTheme="minorHAnsi" w:cstheme="minorHAnsi"/>
                <w:color w:val="000000"/>
                <w:sz w:val="21"/>
                <w:szCs w:val="21"/>
                <w:lang w:val="nb-NO" w:eastAsia="en-GB"/>
              </w:rPr>
              <w:t>.</w:t>
            </w:r>
          </w:p>
          <w:p w14:paraId="31124087"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Miljeteig, C., Strøm, H., Gavrilo, M., Volkov, A., Jenssen, B.M. and Gabrielsen, G.W. (2009). </w:t>
            </w:r>
            <w:r w:rsidRPr="00CA7672">
              <w:rPr>
                <w:rFonts w:asciiTheme="minorHAnsi" w:hAnsiTheme="minorHAnsi" w:cstheme="minorHAnsi"/>
                <w:color w:val="000000"/>
                <w:sz w:val="21"/>
                <w:szCs w:val="21"/>
                <w:lang w:eastAsia="en-GB"/>
              </w:rPr>
              <w:t xml:space="preserve">High Levels of Contaminants in Ivory Gull </w:t>
            </w:r>
            <w:r w:rsidRPr="00CA7672">
              <w:rPr>
                <w:rFonts w:asciiTheme="minorHAnsi" w:hAnsiTheme="minorHAnsi" w:cstheme="minorHAnsi"/>
                <w:i/>
                <w:iCs/>
                <w:color w:val="000000"/>
                <w:sz w:val="21"/>
                <w:szCs w:val="21"/>
                <w:lang w:eastAsia="en-GB"/>
              </w:rPr>
              <w:t xml:space="preserve">Pagophila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Eggs from the Russian and Norwegian Arctic. Environmental Science and Technology 43(14):5521-5528. Doi: </w:t>
            </w:r>
            <w:hyperlink r:id="rId48" w:tgtFrame="_blank" w:history="1">
              <w:r w:rsidRPr="00CA7672">
                <w:rPr>
                  <w:rFonts w:asciiTheme="minorHAnsi" w:hAnsiTheme="minorHAnsi" w:cstheme="minorHAnsi"/>
                  <w:color w:val="000000"/>
                  <w:sz w:val="21"/>
                  <w:szCs w:val="21"/>
                  <w:lang w:eastAsia="en-GB"/>
                </w:rPr>
                <w:t>10.1021/es900490n</w:t>
              </w:r>
            </w:hyperlink>
            <w:r w:rsidRPr="00CA7672">
              <w:rPr>
                <w:rFonts w:asciiTheme="minorHAnsi" w:hAnsiTheme="minorHAnsi" w:cstheme="minorHAnsi"/>
                <w:color w:val="000000"/>
                <w:sz w:val="21"/>
                <w:szCs w:val="21"/>
                <w:lang w:eastAsia="en-GB"/>
              </w:rPr>
              <w:t>.</w:t>
            </w:r>
          </w:p>
          <w:p w14:paraId="24425B2E"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Miljeteig, C., Gabrielsen, G.W., Strøm, H., Gavrilo, M.V., Lie, E. and Jenssen, B.M. (2012). Eggshell thinning and decreased concentrations of vitamin E are associated with contaminants in eggs of ivory gulls. Science of the Total Environment 431: 92–99. Doi: 10.1016/j.scitotenv.2012.05.018.</w:t>
            </w:r>
          </w:p>
          <w:p w14:paraId="20B0A8EA"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Moe, B., </w:t>
            </w:r>
            <w:proofErr w:type="spellStart"/>
            <w:r w:rsidRPr="00CA7672">
              <w:rPr>
                <w:rFonts w:asciiTheme="minorHAnsi" w:hAnsiTheme="minorHAnsi" w:cstheme="minorHAnsi"/>
                <w:color w:val="000000"/>
                <w:sz w:val="21"/>
                <w:szCs w:val="21"/>
                <w:lang w:eastAsia="en-GB"/>
              </w:rPr>
              <w:t>Stempniewicz</w:t>
            </w:r>
            <w:proofErr w:type="spellEnd"/>
            <w:r w:rsidRPr="00CA7672">
              <w:rPr>
                <w:rFonts w:asciiTheme="minorHAnsi" w:hAnsiTheme="minorHAnsi" w:cstheme="minorHAnsi"/>
                <w:color w:val="000000"/>
                <w:sz w:val="21"/>
                <w:szCs w:val="21"/>
                <w:lang w:eastAsia="en-GB"/>
              </w:rPr>
              <w:t xml:space="preserve">, L., </w:t>
            </w:r>
            <w:proofErr w:type="spellStart"/>
            <w:r w:rsidRPr="00CA7672">
              <w:rPr>
                <w:rFonts w:asciiTheme="minorHAnsi" w:hAnsiTheme="minorHAnsi" w:cstheme="minorHAnsi"/>
                <w:color w:val="000000"/>
                <w:sz w:val="21"/>
                <w:szCs w:val="21"/>
                <w:lang w:eastAsia="en-GB"/>
              </w:rPr>
              <w:t>Jakubas</w:t>
            </w:r>
            <w:proofErr w:type="spellEnd"/>
            <w:r w:rsidRPr="00CA7672">
              <w:rPr>
                <w:rFonts w:asciiTheme="minorHAnsi" w:hAnsiTheme="minorHAnsi" w:cstheme="minorHAnsi"/>
                <w:color w:val="000000"/>
                <w:sz w:val="21"/>
                <w:szCs w:val="21"/>
                <w:lang w:eastAsia="en-GB"/>
              </w:rPr>
              <w:t xml:space="preserve">, D., Angelier, F., </w:t>
            </w:r>
            <w:proofErr w:type="spellStart"/>
            <w:r w:rsidRPr="00CA7672">
              <w:rPr>
                <w:rFonts w:asciiTheme="minorHAnsi" w:hAnsiTheme="minorHAnsi" w:cstheme="minorHAnsi"/>
                <w:color w:val="000000"/>
                <w:sz w:val="21"/>
                <w:szCs w:val="21"/>
                <w:lang w:eastAsia="en-GB"/>
              </w:rPr>
              <w:t>Chastel</w:t>
            </w:r>
            <w:proofErr w:type="spellEnd"/>
            <w:r w:rsidRPr="00CA7672">
              <w:rPr>
                <w:rFonts w:asciiTheme="minorHAnsi" w:hAnsiTheme="minorHAnsi" w:cstheme="minorHAnsi"/>
                <w:color w:val="000000"/>
                <w:sz w:val="21"/>
                <w:szCs w:val="21"/>
                <w:lang w:eastAsia="en-GB"/>
              </w:rPr>
              <w:t xml:space="preserve">, O., Dinessen, F., Gabrielsen, G.W., Hanssen, F., Karnovsky, N.J., Rønning, B., Welcker, J., </w:t>
            </w:r>
            <w:proofErr w:type="spellStart"/>
            <w:r w:rsidRPr="00CA7672">
              <w:rPr>
                <w:rFonts w:asciiTheme="minorHAnsi" w:hAnsiTheme="minorHAnsi" w:cstheme="minorHAnsi"/>
                <w:color w:val="000000"/>
                <w:sz w:val="21"/>
                <w:szCs w:val="21"/>
                <w:lang w:eastAsia="en-GB"/>
              </w:rPr>
              <w:t>Wojczulanis-Jakubas</w:t>
            </w:r>
            <w:proofErr w:type="spellEnd"/>
            <w:r w:rsidRPr="00CA7672">
              <w:rPr>
                <w:rFonts w:asciiTheme="minorHAnsi" w:hAnsiTheme="minorHAnsi" w:cstheme="minorHAnsi"/>
                <w:color w:val="000000"/>
                <w:sz w:val="21"/>
                <w:szCs w:val="21"/>
                <w:lang w:eastAsia="en-GB"/>
              </w:rPr>
              <w:t>, K. and, Bech, C. (2009). Climate change and phenological responses of two seabird species breeding in the high-Arctic. Marine Ecology Progress Series 393: 235–246. Doi: 10.3354/meps08222.</w:t>
            </w:r>
          </w:p>
          <w:p w14:paraId="344CCB2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Nachtsheim, D.A., </w:t>
            </w:r>
            <w:proofErr w:type="spellStart"/>
            <w:r w:rsidRPr="00CA7672">
              <w:rPr>
                <w:rFonts w:asciiTheme="minorHAnsi" w:hAnsiTheme="minorHAnsi" w:cstheme="minorHAnsi"/>
                <w:color w:val="000000"/>
                <w:sz w:val="21"/>
                <w:szCs w:val="21"/>
                <w:lang w:eastAsia="en-GB"/>
              </w:rPr>
              <w:t>Joiris</w:t>
            </w:r>
            <w:proofErr w:type="spellEnd"/>
            <w:r w:rsidRPr="00CA7672">
              <w:rPr>
                <w:rFonts w:asciiTheme="minorHAnsi" w:hAnsiTheme="minorHAnsi" w:cstheme="minorHAnsi"/>
                <w:color w:val="000000"/>
                <w:sz w:val="21"/>
                <w:szCs w:val="21"/>
                <w:lang w:eastAsia="en-GB"/>
              </w:rPr>
              <w:t xml:space="preserve">, C.R. and </w:t>
            </w:r>
            <w:proofErr w:type="spellStart"/>
            <w:r w:rsidRPr="00CA7672">
              <w:rPr>
                <w:rFonts w:asciiTheme="minorHAnsi" w:hAnsiTheme="minorHAnsi" w:cstheme="minorHAnsi"/>
                <w:color w:val="000000"/>
                <w:sz w:val="21"/>
                <w:szCs w:val="21"/>
                <w:lang w:eastAsia="en-GB"/>
              </w:rPr>
              <w:t>D’Hert</w:t>
            </w:r>
            <w:proofErr w:type="spellEnd"/>
            <w:r w:rsidRPr="00CA7672">
              <w:rPr>
                <w:rFonts w:asciiTheme="minorHAnsi" w:hAnsiTheme="minorHAnsi" w:cstheme="minorHAnsi"/>
                <w:color w:val="000000"/>
                <w:sz w:val="21"/>
                <w:szCs w:val="21"/>
                <w:lang w:eastAsia="en-GB"/>
              </w:rPr>
              <w:t xml:space="preserve">, D. (2016). A gravel-covered iceberg provides an offshore breeding site for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off Northeast Greenland. Polar Biology 39: 755-758. Doi: 10.1007/s00300-015-1824-7.</w:t>
            </w:r>
          </w:p>
          <w:p w14:paraId="0119C50D"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Norwegian Polar Institute (2023). The number of breeding pairs of ivory gulls in Svalbard. Environmental monitoring of Svalbard and Jan Mayen (MOSJ). URL: https://mosj.no/en/fauna/marine/ismaake.html. Accessed on 9 April 2024.</w:t>
            </w:r>
          </w:p>
          <w:p w14:paraId="54A9343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fr-FR" w:eastAsia="en-GB"/>
              </w:rPr>
            </w:pPr>
            <w:r w:rsidRPr="00CA7672">
              <w:rPr>
                <w:rFonts w:asciiTheme="minorHAnsi" w:hAnsiTheme="minorHAnsi" w:cstheme="minorHAnsi"/>
                <w:color w:val="000000"/>
                <w:sz w:val="21"/>
                <w:szCs w:val="21"/>
                <w:lang w:eastAsia="en-GB"/>
              </w:rPr>
              <w:t xml:space="preserve">Noyes, P.D., McElwee, M.K., Miller, H.D., Clark, B.W., Van Tiem, L.A., Walcott, K.C., Erwin, K.N., Levin, E.D., (2009). The toxicology of climate change: environmental </w:t>
            </w:r>
            <w:r w:rsidRPr="00CA7672">
              <w:rPr>
                <w:rFonts w:asciiTheme="minorHAnsi" w:hAnsiTheme="minorHAnsi" w:cstheme="minorHAnsi"/>
                <w:color w:val="000000"/>
                <w:sz w:val="21"/>
                <w:szCs w:val="21"/>
                <w:lang w:eastAsia="en-GB"/>
              </w:rPr>
              <w:lastRenderedPageBreak/>
              <w:t xml:space="preserve">contaminants in a warming world. </w:t>
            </w:r>
            <w:r w:rsidRPr="00CA7672">
              <w:rPr>
                <w:rFonts w:asciiTheme="minorHAnsi" w:hAnsiTheme="minorHAnsi" w:cstheme="minorHAnsi"/>
                <w:color w:val="000000"/>
                <w:sz w:val="21"/>
                <w:szCs w:val="21"/>
                <w:lang w:val="fr-FR" w:eastAsia="en-GB"/>
              </w:rPr>
              <w:t>Environment International 35(6</w:t>
            </w:r>
            <w:proofErr w:type="gramStart"/>
            <w:r w:rsidRPr="00CA7672">
              <w:rPr>
                <w:rFonts w:asciiTheme="minorHAnsi" w:hAnsiTheme="minorHAnsi" w:cstheme="minorHAnsi"/>
                <w:color w:val="000000"/>
                <w:sz w:val="21"/>
                <w:szCs w:val="21"/>
                <w:lang w:val="fr-FR" w:eastAsia="en-GB"/>
              </w:rPr>
              <w:t>):</w:t>
            </w:r>
            <w:proofErr w:type="gramEnd"/>
            <w:r w:rsidRPr="00CA7672">
              <w:rPr>
                <w:rFonts w:asciiTheme="minorHAnsi" w:hAnsiTheme="minorHAnsi" w:cstheme="minorHAnsi"/>
                <w:color w:val="000000"/>
                <w:sz w:val="21"/>
                <w:szCs w:val="21"/>
                <w:lang w:val="fr-FR" w:eastAsia="en-GB"/>
              </w:rPr>
              <w:t xml:space="preserve"> 971–986. </w:t>
            </w:r>
            <w:proofErr w:type="spellStart"/>
            <w:proofErr w:type="gramStart"/>
            <w:r w:rsidRPr="00CA7672">
              <w:rPr>
                <w:rFonts w:asciiTheme="minorHAnsi" w:hAnsiTheme="minorHAnsi" w:cstheme="minorHAnsi"/>
                <w:color w:val="000000"/>
                <w:sz w:val="21"/>
                <w:szCs w:val="21"/>
                <w:lang w:val="fr-FR" w:eastAsia="en-GB"/>
              </w:rPr>
              <w:t>Doi</w:t>
            </w:r>
            <w:proofErr w:type="spellEnd"/>
            <w:r w:rsidRPr="00CA7672">
              <w:rPr>
                <w:rFonts w:asciiTheme="minorHAnsi" w:hAnsiTheme="minorHAnsi" w:cstheme="minorHAnsi"/>
                <w:color w:val="000000"/>
                <w:sz w:val="21"/>
                <w:szCs w:val="21"/>
                <w:lang w:val="fr-FR" w:eastAsia="en-GB"/>
              </w:rPr>
              <w:t>:</w:t>
            </w:r>
            <w:proofErr w:type="gramEnd"/>
            <w:r w:rsidRPr="00CA7672">
              <w:rPr>
                <w:rFonts w:asciiTheme="minorHAnsi" w:hAnsiTheme="minorHAnsi" w:cstheme="minorHAnsi"/>
                <w:color w:val="000000"/>
                <w:sz w:val="21"/>
                <w:szCs w:val="21"/>
                <w:lang w:val="fr-FR" w:eastAsia="en-GB"/>
              </w:rPr>
              <w:t xml:space="preserve"> https://doi.org/10.1016/j.envint.2009.02.006.</w:t>
            </w:r>
          </w:p>
          <w:p w14:paraId="7A44765F"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fr-FR" w:eastAsia="en-GB"/>
              </w:rPr>
              <w:t xml:space="preserve">OSPAR Commission (2009). </w:t>
            </w:r>
            <w:r w:rsidRPr="00CA7672">
              <w:rPr>
                <w:rFonts w:asciiTheme="minorHAnsi" w:hAnsiTheme="minorHAnsi" w:cstheme="minorHAnsi"/>
                <w:color w:val="000000"/>
                <w:sz w:val="21"/>
                <w:szCs w:val="21"/>
                <w:lang w:eastAsia="en-GB"/>
              </w:rPr>
              <w:t xml:space="preserve">Background Document for Ivory gull </w:t>
            </w:r>
            <w:r w:rsidRPr="00CA7672">
              <w:rPr>
                <w:rFonts w:asciiTheme="minorHAnsi" w:hAnsiTheme="minorHAnsi" w:cstheme="minorHAnsi"/>
                <w:i/>
                <w:iCs/>
                <w:color w:val="000000"/>
                <w:sz w:val="21"/>
                <w:szCs w:val="21"/>
                <w:lang w:eastAsia="en-GB"/>
              </w:rPr>
              <w:t xml:space="preserve">Pagophila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OSPAR Commission, London, Publication 410, pp1-15.</w:t>
            </w:r>
          </w:p>
          <w:p w14:paraId="2F7E0AC1"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OSPAR Commission (2021a). Feeder Report - Recreation and tourism in the North-East Atlantic.</w:t>
            </w:r>
          </w:p>
          <w:p w14:paraId="116F6BDA"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OSPAR Commission 2021b). Feeder Report – Shipping and ports.</w:t>
            </w:r>
          </w:p>
          <w:p w14:paraId="7A89469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Patterson, A., Gilchrist, H.G., Gaston, A. and Elliott, K. (2021). Northwest range shifts and shorter wintering period of an Arctic seabird in response to four decades of changing ocean climate. Marine Ecology Progress Series 679: 163–179. Doi: </w:t>
            </w:r>
            <w:hyperlink r:id="rId49" w:history="1">
              <w:r w:rsidRPr="00CA7672">
                <w:rPr>
                  <w:rFonts w:asciiTheme="minorHAnsi" w:hAnsiTheme="minorHAnsi" w:cstheme="minorHAnsi"/>
                  <w:color w:val="000000"/>
                  <w:sz w:val="21"/>
                  <w:szCs w:val="21"/>
                  <w:lang w:eastAsia="en-GB"/>
                </w:rPr>
                <w:t>https://doi.org/10.3354/meps13890</w:t>
              </w:r>
            </w:hyperlink>
            <w:r w:rsidRPr="00CA7672">
              <w:rPr>
                <w:rFonts w:asciiTheme="minorHAnsi" w:hAnsiTheme="minorHAnsi" w:cstheme="minorHAnsi"/>
                <w:color w:val="000000"/>
                <w:sz w:val="21"/>
                <w:szCs w:val="21"/>
                <w:lang w:eastAsia="en-GB"/>
              </w:rPr>
              <w:t xml:space="preserve">. </w:t>
            </w:r>
          </w:p>
          <w:p w14:paraId="7F65D1C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Post, E., Bhatt, U.S., Bitz, C.M., Brodie, J.F., Fulton, T.L., </w:t>
            </w:r>
            <w:proofErr w:type="spellStart"/>
            <w:r w:rsidRPr="00CA7672">
              <w:rPr>
                <w:rFonts w:asciiTheme="minorHAnsi" w:hAnsiTheme="minorHAnsi" w:cstheme="minorHAnsi"/>
                <w:color w:val="000000"/>
                <w:sz w:val="21"/>
                <w:szCs w:val="21"/>
                <w:lang w:eastAsia="en-GB"/>
              </w:rPr>
              <w:t>Hebblewhite</w:t>
            </w:r>
            <w:proofErr w:type="spellEnd"/>
            <w:r w:rsidRPr="00CA7672">
              <w:rPr>
                <w:rFonts w:asciiTheme="minorHAnsi" w:hAnsiTheme="minorHAnsi" w:cstheme="minorHAnsi"/>
                <w:color w:val="000000"/>
                <w:sz w:val="21"/>
                <w:szCs w:val="21"/>
                <w:lang w:eastAsia="en-GB"/>
              </w:rPr>
              <w:t xml:space="preserve">, M., Kerby, J., Kutz, S.J., Stirling, I. and Walker, D.A. (2013). Ecological consequences of sea-ice decline. Science 341(6145): 519-524. Doi: </w:t>
            </w:r>
            <w:hyperlink r:id="rId50" w:history="1">
              <w:r w:rsidRPr="00CA7672">
                <w:rPr>
                  <w:rFonts w:asciiTheme="minorHAnsi" w:hAnsiTheme="minorHAnsi" w:cstheme="minorHAnsi"/>
                  <w:color w:val="000000"/>
                  <w:sz w:val="21"/>
                  <w:szCs w:val="21"/>
                  <w:lang w:eastAsia="en-GB"/>
                </w:rPr>
                <w:t>10.1126/science.1235225</w:t>
              </w:r>
            </w:hyperlink>
            <w:r w:rsidRPr="00CA7672">
              <w:rPr>
                <w:rFonts w:asciiTheme="minorHAnsi" w:hAnsiTheme="minorHAnsi" w:cstheme="minorHAnsi"/>
                <w:color w:val="000000"/>
                <w:sz w:val="21"/>
                <w:szCs w:val="21"/>
                <w:lang w:eastAsia="en-GB"/>
              </w:rPr>
              <w:t>.</w:t>
            </w:r>
          </w:p>
          <w:p w14:paraId="002D2DFD"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Rantanen, M., Karpechko, A.Y., Lipponen, A., Nordling, K., Hyvärinen, O., </w:t>
            </w:r>
            <w:proofErr w:type="spellStart"/>
            <w:r w:rsidRPr="00CA7672">
              <w:rPr>
                <w:rFonts w:asciiTheme="minorHAnsi" w:hAnsiTheme="minorHAnsi" w:cstheme="minorHAnsi"/>
                <w:color w:val="000000"/>
                <w:sz w:val="21"/>
                <w:szCs w:val="21"/>
                <w:lang w:eastAsia="en-GB"/>
              </w:rPr>
              <w:t>Ruosteenoja</w:t>
            </w:r>
            <w:proofErr w:type="spellEnd"/>
            <w:r w:rsidRPr="00CA7672">
              <w:rPr>
                <w:rFonts w:asciiTheme="minorHAnsi" w:hAnsiTheme="minorHAnsi" w:cstheme="minorHAnsi"/>
                <w:color w:val="000000"/>
                <w:sz w:val="21"/>
                <w:szCs w:val="21"/>
                <w:lang w:eastAsia="en-GB"/>
              </w:rPr>
              <w:t xml:space="preserve">, K., </w:t>
            </w:r>
            <w:proofErr w:type="spellStart"/>
            <w:r w:rsidRPr="00CA7672">
              <w:rPr>
                <w:rFonts w:asciiTheme="minorHAnsi" w:hAnsiTheme="minorHAnsi" w:cstheme="minorHAnsi"/>
                <w:color w:val="000000"/>
                <w:sz w:val="21"/>
                <w:szCs w:val="21"/>
                <w:lang w:eastAsia="en-GB"/>
              </w:rPr>
              <w:t>Vihma</w:t>
            </w:r>
            <w:proofErr w:type="spellEnd"/>
            <w:r w:rsidRPr="00CA7672">
              <w:rPr>
                <w:rFonts w:asciiTheme="minorHAnsi" w:hAnsiTheme="minorHAnsi" w:cstheme="minorHAnsi"/>
                <w:color w:val="000000"/>
                <w:sz w:val="21"/>
                <w:szCs w:val="21"/>
                <w:lang w:eastAsia="en-GB"/>
              </w:rPr>
              <w:t xml:space="preserve">, T., Laaksonen, A. (2022). The Arctic has warmed nearly four times faster than the globe since 1979. Communications Earth &amp; Environment 3: 168. Doi: </w:t>
            </w:r>
            <w:hyperlink r:id="rId51" w:history="1">
              <w:r w:rsidRPr="00CA7672">
                <w:rPr>
                  <w:rFonts w:asciiTheme="minorHAnsi" w:hAnsiTheme="minorHAnsi" w:cstheme="minorHAnsi"/>
                  <w:color w:val="000000"/>
                  <w:sz w:val="21"/>
                  <w:szCs w:val="21"/>
                  <w:lang w:eastAsia="en-GB"/>
                </w:rPr>
                <w:t>https://doi.org/10.1038/s43247-022-00498-3</w:t>
              </w:r>
            </w:hyperlink>
            <w:r w:rsidRPr="00CA7672">
              <w:rPr>
                <w:rFonts w:asciiTheme="minorHAnsi" w:hAnsiTheme="minorHAnsi" w:cstheme="minorHAnsi"/>
                <w:color w:val="000000"/>
                <w:sz w:val="21"/>
                <w:szCs w:val="21"/>
                <w:lang w:eastAsia="en-GB"/>
              </w:rPr>
              <w:t>.</w:t>
            </w:r>
          </w:p>
          <w:p w14:paraId="6049F808"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Régnier, T., Wright, P.J., Harris, M.P., Gibb, F.M., Newell, M., Eerkes-Medrano, D., Daunt, F. and Wanless, S. (2024). Effect of timing and abundance of lesser </w:t>
            </w:r>
            <w:proofErr w:type="spellStart"/>
            <w:r w:rsidRPr="00CA7672">
              <w:rPr>
                <w:rFonts w:asciiTheme="minorHAnsi" w:hAnsiTheme="minorHAnsi" w:cstheme="minorHAnsi"/>
                <w:color w:val="000000"/>
                <w:sz w:val="21"/>
                <w:szCs w:val="21"/>
                <w:lang w:eastAsia="en-GB"/>
              </w:rPr>
              <w:t>sandeel</w:t>
            </w:r>
            <w:proofErr w:type="spellEnd"/>
            <w:r w:rsidRPr="00CA7672">
              <w:rPr>
                <w:rFonts w:asciiTheme="minorHAnsi" w:hAnsiTheme="minorHAnsi" w:cstheme="minorHAnsi"/>
                <w:color w:val="000000"/>
                <w:sz w:val="21"/>
                <w:szCs w:val="21"/>
                <w:lang w:eastAsia="en-GB"/>
              </w:rPr>
              <w:t xml:space="preserve"> on the breeding success of a North Sea seabird community. Marine Ecology Progress Series 727: 1–17. Doi: http://www.ace-eco.org/vol2/iss2/art8https://doi.org/10.3354/meps14520.</w:t>
            </w:r>
          </w:p>
          <w:p w14:paraId="10BD42C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Renaud, W.E. and McLaren, P.L. (1992).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i/>
                <w:iCs/>
                <w:color w:val="000000"/>
                <w:sz w:val="21"/>
                <w:szCs w:val="21"/>
                <w:lang w:eastAsia="en-GB"/>
              </w:rPr>
              <w:t xml:space="preserve">) </w:t>
            </w:r>
            <w:r w:rsidRPr="00CA7672">
              <w:rPr>
                <w:rFonts w:asciiTheme="minorHAnsi" w:hAnsiTheme="minorHAnsi" w:cstheme="minorHAnsi"/>
                <w:color w:val="000000"/>
                <w:sz w:val="21"/>
                <w:szCs w:val="21"/>
                <w:lang w:eastAsia="en-GB"/>
              </w:rPr>
              <w:t xml:space="preserve">distribution in late summer and autumn in eastern Lancaster Sound and western Baffin Bay. Arctic 35(1): 141-148. </w:t>
            </w:r>
          </w:p>
          <w:p w14:paraId="47B83F9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Robertson, G.J., Gilchrist, H.G. and Mallory, M.L. (2007). Colony dynamics and persistence of ivory gull breeding in Canada. Avian Conservation Ecology 2(2): 8. [online] URL: </w:t>
            </w:r>
            <w:hyperlink r:id="rId52" w:history="1">
              <w:r w:rsidRPr="00CA7672">
                <w:rPr>
                  <w:rFonts w:asciiTheme="minorHAnsi" w:hAnsiTheme="minorHAnsi" w:cstheme="minorHAnsi"/>
                  <w:color w:val="000000"/>
                  <w:sz w:val="21"/>
                  <w:szCs w:val="21"/>
                  <w:lang w:eastAsia="en-GB"/>
                </w:rPr>
                <w:t>http://www.ace-eco.org/vol2/iss2/art8</w:t>
              </w:r>
            </w:hyperlink>
            <w:r w:rsidRPr="00CA7672">
              <w:rPr>
                <w:rFonts w:asciiTheme="minorHAnsi" w:hAnsiTheme="minorHAnsi" w:cstheme="minorHAnsi"/>
                <w:color w:val="000000"/>
                <w:sz w:val="21"/>
                <w:szCs w:val="21"/>
                <w:lang w:eastAsia="en-GB"/>
              </w:rPr>
              <w:t>. Accessed on 12 April 2024.</w:t>
            </w:r>
          </w:p>
          <w:p w14:paraId="026C2F2B"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Royston, R.S. and Carr, S.M. (2014). Conservation genetics of high-arctic gull species at risk: I. Diversity in the </w:t>
            </w:r>
            <w:proofErr w:type="spellStart"/>
            <w:r w:rsidRPr="00CA7672">
              <w:rPr>
                <w:rFonts w:asciiTheme="minorHAnsi" w:hAnsiTheme="minorHAnsi" w:cstheme="minorHAnsi"/>
                <w:color w:val="000000"/>
                <w:sz w:val="21"/>
                <w:szCs w:val="21"/>
                <w:lang w:eastAsia="en-GB"/>
              </w:rPr>
              <w:t>mtDNA</w:t>
            </w:r>
            <w:proofErr w:type="spellEnd"/>
            <w:r w:rsidRPr="00CA7672">
              <w:rPr>
                <w:rFonts w:asciiTheme="minorHAnsi" w:hAnsiTheme="minorHAnsi" w:cstheme="minorHAnsi"/>
                <w:color w:val="000000"/>
                <w:sz w:val="21"/>
                <w:szCs w:val="21"/>
                <w:lang w:eastAsia="en-GB"/>
              </w:rPr>
              <w:t xml:space="preserve"> control region of circumpolar populations of the endangered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Mitochondrial DNA 27(6): 3995 – 3990. Doi: </w:t>
            </w:r>
            <w:hyperlink r:id="rId53" w:tgtFrame="_blank" w:history="1">
              <w:r w:rsidRPr="00CA7672">
                <w:rPr>
                  <w:rFonts w:asciiTheme="minorHAnsi" w:hAnsiTheme="minorHAnsi" w:cstheme="minorHAnsi"/>
                  <w:color w:val="000000"/>
                  <w:sz w:val="21"/>
                  <w:szCs w:val="21"/>
                  <w:lang w:eastAsia="en-GB"/>
                </w:rPr>
                <w:t>10.3109/19401736.2014.989520</w:t>
              </w:r>
            </w:hyperlink>
          </w:p>
          <w:p w14:paraId="0B5A37A7"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Serreze, M.C., Holland, M.M. and Stroeve, J. (2007). Perspectives on the Arctic’s sea-ice cover. Science 315: 1533-1536. Doi: Doi:10.1126/science.1139426.</w:t>
            </w:r>
          </w:p>
          <w:p w14:paraId="1F15A989"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Sneed, W.A. and Hamilton, G.S. (2016). Recent changes in the Norske Øer Ice Barrier, coastal Northeast Greenland. Annals of Glaciology 57(73): 47-55. Doi: 10.1017/aog.2016.21. </w:t>
            </w:r>
          </w:p>
          <w:p w14:paraId="1D15A928"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Spencer, N.C., Gilchrist, H.G. and Mallory, M.L. (2014). Annual movement patterns of endangered ivory gulls: The importance of sea ice. </w:t>
            </w:r>
            <w:proofErr w:type="spellStart"/>
            <w:r w:rsidRPr="00CA7672">
              <w:rPr>
                <w:rFonts w:asciiTheme="minorHAnsi" w:hAnsiTheme="minorHAnsi" w:cstheme="minorHAnsi"/>
                <w:color w:val="000000"/>
                <w:sz w:val="21"/>
                <w:szCs w:val="21"/>
                <w:lang w:eastAsia="en-GB"/>
              </w:rPr>
              <w:t>PLoS</w:t>
            </w:r>
            <w:proofErr w:type="spellEnd"/>
            <w:r w:rsidRPr="00CA7672">
              <w:rPr>
                <w:rFonts w:asciiTheme="minorHAnsi" w:hAnsiTheme="minorHAnsi" w:cstheme="minorHAnsi"/>
                <w:color w:val="000000"/>
                <w:sz w:val="21"/>
                <w:szCs w:val="21"/>
                <w:lang w:eastAsia="en-GB"/>
              </w:rPr>
              <w:t xml:space="preserve"> ONE 9(12): e115231. Doi:10.1371/ journal.pone.0115231.</w:t>
            </w:r>
          </w:p>
          <w:p w14:paraId="63071731"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lastRenderedPageBreak/>
              <w:t xml:space="preserve">Spencer, N., Gilchrist, H.G., Strøm, H., Allard, K.A. and Mallory, M.L. (2016). Key winter habitat of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the Canadian Arctic. Endangered Species Research 31: 33-45. Doi: 10.3354/esr00747.</w:t>
            </w:r>
          </w:p>
          <w:p w14:paraId="2211A914"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eastAsia="en-GB"/>
              </w:rPr>
              <w:t xml:space="preserve">Stenhouse, I.J., Robertson, G.J. and Gilchrist, H.G. (2004). Recoveries and survival rate of ivory gulls banded in Nunavut, Canada, 1971-1999. </w:t>
            </w:r>
            <w:r w:rsidRPr="00CA7672">
              <w:rPr>
                <w:rFonts w:asciiTheme="minorHAnsi" w:hAnsiTheme="minorHAnsi" w:cstheme="minorHAnsi"/>
                <w:color w:val="000000"/>
                <w:sz w:val="21"/>
                <w:szCs w:val="21"/>
                <w:lang w:val="nb-NO" w:eastAsia="en-GB"/>
              </w:rPr>
              <w:t xml:space="preserve">Waterbirds 27(4): 486-492. Doi: </w:t>
            </w:r>
            <w:hyperlink r:id="rId54" w:tgtFrame="_blank" w:history="1">
              <w:r w:rsidRPr="00CA7672">
                <w:rPr>
                  <w:rFonts w:asciiTheme="minorHAnsi" w:hAnsiTheme="minorHAnsi" w:cstheme="minorHAnsi"/>
                  <w:color w:val="000000"/>
                  <w:sz w:val="21"/>
                  <w:szCs w:val="21"/>
                  <w:lang w:val="nb-NO" w:eastAsia="en-GB"/>
                </w:rPr>
                <w:t>10.1675/1524-4695(2004)027[0486:RASROI]2.0.CO;2</w:t>
              </w:r>
            </w:hyperlink>
            <w:r w:rsidRPr="00CA7672">
              <w:rPr>
                <w:rFonts w:asciiTheme="minorHAnsi" w:hAnsiTheme="minorHAnsi" w:cstheme="minorHAnsi"/>
                <w:color w:val="000000"/>
                <w:sz w:val="21"/>
                <w:szCs w:val="21"/>
                <w:lang w:val="nb-NO" w:eastAsia="en-GB"/>
              </w:rPr>
              <w:t>.</w:t>
            </w:r>
          </w:p>
          <w:p w14:paraId="1A90203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Stokke, B.G., Dale, S., Jacobsen, K.-O., Lislevand, T., Solvang, R. and Strøm, H. (2021). Fugler: Vurdering av ismåke </w:t>
            </w:r>
            <w:r w:rsidRPr="00CA7672">
              <w:rPr>
                <w:rFonts w:asciiTheme="minorHAnsi" w:hAnsiTheme="minorHAnsi" w:cstheme="minorHAnsi"/>
                <w:i/>
                <w:iCs/>
                <w:color w:val="000000"/>
                <w:sz w:val="21"/>
                <w:szCs w:val="21"/>
                <w:lang w:val="nb-NO" w:eastAsia="en-GB"/>
              </w:rPr>
              <w:t>Pagophila eburnea</w:t>
            </w:r>
            <w:r w:rsidRPr="00CA7672">
              <w:rPr>
                <w:rFonts w:asciiTheme="minorHAnsi" w:hAnsiTheme="minorHAnsi" w:cstheme="minorHAnsi"/>
                <w:color w:val="000000"/>
                <w:sz w:val="21"/>
                <w:szCs w:val="21"/>
                <w:lang w:val="nb-NO" w:eastAsia="en-GB"/>
              </w:rPr>
              <w:t xml:space="preserve"> for Svalbard. Rødlista for arter 2021. Artsdatabanken. http://www.artsdatabanken.no/lister/rodlisteforarter/2021/31848. </w:t>
            </w:r>
            <w:r w:rsidRPr="00CA7672">
              <w:rPr>
                <w:rFonts w:asciiTheme="minorHAnsi" w:hAnsiTheme="minorHAnsi" w:cstheme="minorHAnsi"/>
                <w:color w:val="000000"/>
                <w:sz w:val="21"/>
                <w:szCs w:val="21"/>
                <w:lang w:eastAsia="en-GB"/>
              </w:rPr>
              <w:t>Accessed 15 April 2024.</w:t>
            </w:r>
          </w:p>
          <w:p w14:paraId="26307715"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Stroeve, J. and Notz, D. (2018). Changing state of Arctic Sea ice across all seasons. Environmental Research Letters 13: 103001. Doi: </w:t>
            </w:r>
            <w:hyperlink r:id="rId55" w:history="1">
              <w:r w:rsidRPr="00CA7672">
                <w:rPr>
                  <w:rFonts w:asciiTheme="minorHAnsi" w:hAnsiTheme="minorHAnsi" w:cstheme="minorHAnsi"/>
                  <w:color w:val="000000"/>
                  <w:sz w:val="21"/>
                  <w:szCs w:val="21"/>
                  <w:lang w:eastAsia="en-GB"/>
                </w:rPr>
                <w:t>https://doi.org/10.1088/1748-9326/aade56</w:t>
              </w:r>
            </w:hyperlink>
            <w:r w:rsidRPr="00CA7672">
              <w:rPr>
                <w:rFonts w:asciiTheme="minorHAnsi" w:hAnsiTheme="minorHAnsi" w:cstheme="minorHAnsi"/>
                <w:color w:val="000000"/>
                <w:sz w:val="21"/>
                <w:szCs w:val="21"/>
                <w:lang w:eastAsia="en-GB"/>
              </w:rPr>
              <w:t>.</w:t>
            </w:r>
          </w:p>
          <w:p w14:paraId="2C5534B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Strøm, H., Boertmann, D., Gavrilo, M.V., Gilchrist, H.G., Gilg, O., Mallory, M., Mosbech, A. and Yannic, G. (2019). Ivory Gull: Status, Trends and New Knowledge. NOAA Arctic Report Card.</w:t>
            </w:r>
          </w:p>
          <w:p w14:paraId="5BD38939"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Strøm, H., Bakken, V., Skoglund, A., Descamps, S., Fjeldheim, V.B. and Steen, H. (2020). </w:t>
            </w:r>
            <w:r w:rsidRPr="00CA7672">
              <w:rPr>
                <w:rFonts w:asciiTheme="minorHAnsi" w:hAnsiTheme="minorHAnsi" w:cstheme="minorHAnsi"/>
                <w:color w:val="000000"/>
                <w:sz w:val="21"/>
                <w:szCs w:val="21"/>
                <w:lang w:eastAsia="en-GB"/>
              </w:rPr>
              <w:t xml:space="preserve">Population status and trend of the threatened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Svalbard. Endangered Species Research 43: 435–445. Doi: https://doi.org/10.3354/esr01081.</w:t>
            </w:r>
          </w:p>
          <w:p w14:paraId="5D443383"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proofErr w:type="spellStart"/>
            <w:r w:rsidRPr="00CA7672">
              <w:rPr>
                <w:rFonts w:asciiTheme="minorHAnsi" w:hAnsiTheme="minorHAnsi" w:cstheme="minorHAnsi"/>
                <w:color w:val="000000"/>
                <w:sz w:val="21"/>
                <w:szCs w:val="21"/>
                <w:lang w:eastAsia="en-GB"/>
              </w:rPr>
              <w:t>Tomkovich</w:t>
            </w:r>
            <w:proofErr w:type="spellEnd"/>
            <w:r w:rsidRPr="00CA7672">
              <w:rPr>
                <w:rFonts w:asciiTheme="minorHAnsi" w:hAnsiTheme="minorHAnsi" w:cstheme="minorHAnsi"/>
                <w:color w:val="000000"/>
                <w:sz w:val="21"/>
                <w:szCs w:val="21"/>
                <w:lang w:eastAsia="en-GB"/>
              </w:rPr>
              <w:t>, P.S. (1986). The biology of ivory gulls at Graham-Bell Island (Franz Josef Land). Actual problems of ornithology, pp 34-49, Nauka. (In Russian).</w:t>
            </w:r>
          </w:p>
          <w:p w14:paraId="1C790055"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Volkov, A.E. and De Korte, J. (1996). Distributions and number of breeding ivory gulls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w:t>
            </w:r>
            <w:proofErr w:type="spellStart"/>
            <w:r w:rsidRPr="00CA7672">
              <w:rPr>
                <w:rFonts w:asciiTheme="minorHAnsi" w:hAnsiTheme="minorHAnsi" w:cstheme="minorHAnsi"/>
                <w:color w:val="000000"/>
                <w:sz w:val="21"/>
                <w:szCs w:val="21"/>
                <w:lang w:eastAsia="en-GB"/>
              </w:rPr>
              <w:t>Severnaja</w:t>
            </w:r>
            <w:proofErr w:type="spellEnd"/>
            <w:r w:rsidRPr="00CA7672">
              <w:rPr>
                <w:rFonts w:asciiTheme="minorHAnsi" w:hAnsiTheme="minorHAnsi" w:cstheme="minorHAnsi"/>
                <w:color w:val="000000"/>
                <w:sz w:val="21"/>
                <w:szCs w:val="21"/>
                <w:lang w:eastAsia="en-GB"/>
              </w:rPr>
              <w:t xml:space="preserve"> </w:t>
            </w:r>
            <w:proofErr w:type="spellStart"/>
            <w:r w:rsidRPr="00CA7672">
              <w:rPr>
                <w:rFonts w:asciiTheme="minorHAnsi" w:hAnsiTheme="minorHAnsi" w:cstheme="minorHAnsi"/>
                <w:color w:val="000000"/>
                <w:sz w:val="21"/>
                <w:szCs w:val="21"/>
                <w:lang w:eastAsia="en-GB"/>
              </w:rPr>
              <w:t>Zemlja</w:t>
            </w:r>
            <w:proofErr w:type="spellEnd"/>
            <w:r w:rsidRPr="00CA7672">
              <w:rPr>
                <w:rFonts w:asciiTheme="minorHAnsi" w:hAnsiTheme="minorHAnsi" w:cstheme="minorHAnsi"/>
                <w:color w:val="000000"/>
                <w:sz w:val="21"/>
                <w:szCs w:val="21"/>
                <w:lang w:eastAsia="en-GB"/>
              </w:rPr>
              <w:t xml:space="preserve">, Russian Arctic. Polar Research 15(1): 11-21. Doi: </w:t>
            </w:r>
            <w:hyperlink r:id="rId56" w:history="1">
              <w:r w:rsidRPr="00CA7672">
                <w:rPr>
                  <w:rFonts w:asciiTheme="minorHAnsi" w:hAnsiTheme="minorHAnsi" w:cstheme="minorHAnsi"/>
                  <w:color w:val="000000"/>
                  <w:sz w:val="21"/>
                  <w:szCs w:val="21"/>
                  <w:lang w:eastAsia="en-GB"/>
                </w:rPr>
                <w:t>https://doi.org/10.3402/polar.v15i1.6633</w:t>
              </w:r>
            </w:hyperlink>
          </w:p>
          <w:p w14:paraId="690E8B40"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Wang, M. and Overland, J.E. (2012). A sea ice free summer Arctic within 30 years: An update from CMIP5 models. Geophysical Research Letters 39: L18501. https://doi.org/10.1029/2012GL052868.</w:t>
            </w:r>
          </w:p>
          <w:p w14:paraId="6E01164D"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eastAsia="en-GB"/>
              </w:rPr>
              <w:t xml:space="preserve">Welcker, J., Harding, A.M.A., Karnovsky, N.J., Steen, H., Strøm, H. and Gabrielsen, G.W. (2009). Flexibility in the bimodal foraging strategy of a high Arctic </w:t>
            </w:r>
            <w:proofErr w:type="spellStart"/>
            <w:r w:rsidRPr="00CA7672">
              <w:rPr>
                <w:rFonts w:asciiTheme="minorHAnsi" w:hAnsiTheme="minorHAnsi" w:cstheme="minorHAnsi"/>
                <w:color w:val="000000"/>
                <w:sz w:val="21"/>
                <w:szCs w:val="21"/>
                <w:lang w:eastAsia="en-GB"/>
              </w:rPr>
              <w:t>alcid</w:t>
            </w:r>
            <w:proofErr w:type="spellEnd"/>
            <w:r w:rsidRPr="00CA7672">
              <w:rPr>
                <w:rFonts w:asciiTheme="minorHAnsi" w:hAnsiTheme="minorHAnsi" w:cstheme="minorHAnsi"/>
                <w:color w:val="000000"/>
                <w:sz w:val="21"/>
                <w:szCs w:val="21"/>
                <w:lang w:eastAsia="en-GB"/>
              </w:rPr>
              <w:t xml:space="preserve">, the little auk </w:t>
            </w:r>
            <w:r w:rsidRPr="00CA7672">
              <w:rPr>
                <w:rFonts w:asciiTheme="minorHAnsi" w:hAnsiTheme="minorHAnsi" w:cstheme="minorHAnsi"/>
                <w:i/>
                <w:iCs/>
                <w:color w:val="000000"/>
                <w:sz w:val="21"/>
                <w:szCs w:val="21"/>
                <w:lang w:eastAsia="en-GB"/>
              </w:rPr>
              <w:t xml:space="preserve">Alle </w:t>
            </w:r>
            <w:proofErr w:type="spellStart"/>
            <w:r w:rsidRPr="00CA7672">
              <w:rPr>
                <w:rFonts w:asciiTheme="minorHAnsi" w:hAnsiTheme="minorHAnsi" w:cstheme="minorHAnsi"/>
                <w:i/>
                <w:iCs/>
                <w:color w:val="000000"/>
                <w:sz w:val="21"/>
                <w:szCs w:val="21"/>
                <w:lang w:eastAsia="en-GB"/>
              </w:rPr>
              <w:t>alle</w:t>
            </w:r>
            <w:proofErr w:type="spellEnd"/>
            <w:r w:rsidRPr="00CA7672">
              <w:rPr>
                <w:rFonts w:asciiTheme="minorHAnsi" w:hAnsiTheme="minorHAnsi" w:cstheme="minorHAnsi"/>
                <w:color w:val="000000"/>
                <w:sz w:val="21"/>
                <w:szCs w:val="21"/>
                <w:lang w:eastAsia="en-GB"/>
              </w:rPr>
              <w:t>. Journal of Avian Biology 40: 388-399. Doi: 10.1111/j.1600-048X.2008.04620x.</w:t>
            </w:r>
          </w:p>
          <w:p w14:paraId="3AC17212"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val="nb-NO" w:eastAsia="en-GB"/>
              </w:rPr>
            </w:pPr>
            <w:r w:rsidRPr="00CA7672">
              <w:rPr>
                <w:rFonts w:asciiTheme="minorHAnsi" w:hAnsiTheme="minorHAnsi" w:cstheme="minorHAnsi"/>
                <w:color w:val="000000"/>
                <w:sz w:val="21"/>
                <w:szCs w:val="21"/>
                <w:lang w:eastAsia="en-GB"/>
              </w:rPr>
              <w:t xml:space="preserve">Wright, N.J.R. and Mattews, D.W. (1980). New nesting colonies of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xml:space="preserve"> in southern East Greenland. </w:t>
            </w:r>
            <w:r w:rsidRPr="00CA7672">
              <w:rPr>
                <w:rFonts w:asciiTheme="minorHAnsi" w:hAnsiTheme="minorHAnsi" w:cstheme="minorHAnsi"/>
                <w:color w:val="000000"/>
                <w:sz w:val="21"/>
                <w:szCs w:val="21"/>
                <w:lang w:val="nb-NO" w:eastAsia="en-GB"/>
              </w:rPr>
              <w:t>Dansk ornithologisk forenings tidsskrift 74: 59-64.</w:t>
            </w:r>
          </w:p>
          <w:p w14:paraId="2A41FE2C"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1"/>
                <w:szCs w:val="21"/>
                <w:lang w:eastAsia="en-GB"/>
              </w:rPr>
            </w:pPr>
            <w:r w:rsidRPr="00CA7672">
              <w:rPr>
                <w:rFonts w:asciiTheme="minorHAnsi" w:hAnsiTheme="minorHAnsi" w:cstheme="minorHAnsi"/>
                <w:color w:val="000000"/>
                <w:sz w:val="21"/>
                <w:szCs w:val="21"/>
                <w:lang w:val="nb-NO" w:eastAsia="en-GB"/>
              </w:rPr>
              <w:t xml:space="preserve">Yannic, G., Aebischer, A., Sabard, B. and Gilg, O. (2014). </w:t>
            </w:r>
            <w:r w:rsidRPr="00CA7672">
              <w:rPr>
                <w:rFonts w:asciiTheme="minorHAnsi" w:hAnsiTheme="minorHAnsi" w:cstheme="minorHAnsi"/>
                <w:color w:val="000000"/>
                <w:sz w:val="21"/>
                <w:szCs w:val="21"/>
                <w:lang w:eastAsia="en-GB"/>
              </w:rPr>
              <w:t xml:space="preserve">Complete breeding failures in ivory </w:t>
            </w:r>
            <w:proofErr w:type="gramStart"/>
            <w:r w:rsidRPr="00CA7672">
              <w:rPr>
                <w:rFonts w:asciiTheme="minorHAnsi" w:hAnsiTheme="minorHAnsi" w:cstheme="minorHAnsi"/>
                <w:color w:val="000000"/>
                <w:sz w:val="21"/>
                <w:szCs w:val="21"/>
                <w:lang w:eastAsia="en-GB"/>
              </w:rPr>
              <w:t>gull</w:t>
            </w:r>
            <w:proofErr w:type="gramEnd"/>
            <w:r w:rsidRPr="00CA7672">
              <w:rPr>
                <w:rFonts w:asciiTheme="minorHAnsi" w:hAnsiTheme="minorHAnsi" w:cstheme="minorHAnsi"/>
                <w:color w:val="000000"/>
                <w:sz w:val="21"/>
                <w:szCs w:val="21"/>
                <w:lang w:eastAsia="en-GB"/>
              </w:rPr>
              <w:t xml:space="preserve"> following unusual rainy storms in North Greenland. Polar Research 33: 22749. Doi: </w:t>
            </w:r>
            <w:hyperlink r:id="rId57" w:history="1">
              <w:r w:rsidRPr="00CA7672">
                <w:rPr>
                  <w:rFonts w:asciiTheme="minorHAnsi" w:hAnsiTheme="minorHAnsi" w:cstheme="minorHAnsi"/>
                  <w:color w:val="000000"/>
                  <w:sz w:val="21"/>
                  <w:szCs w:val="21"/>
                  <w:lang w:eastAsia="en-GB"/>
                </w:rPr>
                <w:t>https://doi.org/10.3402/polar.v33.22749</w:t>
              </w:r>
            </w:hyperlink>
            <w:r w:rsidRPr="00CA7672">
              <w:rPr>
                <w:rFonts w:asciiTheme="minorHAnsi" w:hAnsiTheme="minorHAnsi" w:cstheme="minorHAnsi"/>
                <w:color w:val="000000"/>
                <w:sz w:val="21"/>
                <w:szCs w:val="21"/>
                <w:lang w:eastAsia="en-GB"/>
              </w:rPr>
              <w:t>.</w:t>
            </w:r>
          </w:p>
          <w:p w14:paraId="40C0AB76" w14:textId="77777777" w:rsidR="00645F89" w:rsidRPr="00CA7672" w:rsidRDefault="00645F89" w:rsidP="00645F89">
            <w:pPr>
              <w:tabs>
                <w:tab w:val="clear" w:pos="567"/>
              </w:tabs>
              <w:spacing w:after="150" w:line="240" w:lineRule="auto"/>
              <w:ind w:left="288" w:hanging="288"/>
              <w:jc w:val="left"/>
              <w:rPr>
                <w:rFonts w:asciiTheme="minorHAnsi" w:hAnsiTheme="minorHAnsi" w:cstheme="minorHAnsi"/>
                <w:color w:val="000000"/>
                <w:sz w:val="24"/>
              </w:rPr>
            </w:pPr>
            <w:r w:rsidRPr="00CA7672">
              <w:rPr>
                <w:rFonts w:asciiTheme="minorHAnsi" w:hAnsiTheme="minorHAnsi" w:cstheme="minorHAnsi"/>
                <w:color w:val="000000"/>
                <w:sz w:val="21"/>
                <w:szCs w:val="21"/>
                <w:lang w:eastAsia="en-GB"/>
              </w:rPr>
              <w:t xml:space="preserve">Yannic, G., Yearsley, J.M., Sermier, R., </w:t>
            </w:r>
            <w:proofErr w:type="spellStart"/>
            <w:r w:rsidRPr="00CA7672">
              <w:rPr>
                <w:rFonts w:asciiTheme="minorHAnsi" w:hAnsiTheme="minorHAnsi" w:cstheme="minorHAnsi"/>
                <w:color w:val="000000"/>
                <w:sz w:val="21"/>
                <w:szCs w:val="21"/>
                <w:lang w:eastAsia="en-GB"/>
              </w:rPr>
              <w:t>Dufresnes</w:t>
            </w:r>
            <w:proofErr w:type="spellEnd"/>
            <w:r w:rsidRPr="00CA7672">
              <w:rPr>
                <w:rFonts w:asciiTheme="minorHAnsi" w:hAnsiTheme="minorHAnsi" w:cstheme="minorHAnsi"/>
                <w:color w:val="000000"/>
                <w:sz w:val="21"/>
                <w:szCs w:val="21"/>
                <w:lang w:eastAsia="en-GB"/>
              </w:rPr>
              <w:t xml:space="preserve">, C., Gilg, O., Aebischer, A., Gavrilo, M.V., Strøm, H., Mallory, M.L., Guy Morrison, R.I., Gilchrist, H.G. and </w:t>
            </w:r>
            <w:proofErr w:type="spellStart"/>
            <w:r w:rsidRPr="00CA7672">
              <w:rPr>
                <w:rFonts w:asciiTheme="minorHAnsi" w:hAnsiTheme="minorHAnsi" w:cstheme="minorHAnsi"/>
                <w:color w:val="000000"/>
                <w:sz w:val="21"/>
                <w:szCs w:val="21"/>
                <w:lang w:eastAsia="en-GB"/>
              </w:rPr>
              <w:t>Broquet</w:t>
            </w:r>
            <w:proofErr w:type="spellEnd"/>
            <w:r w:rsidRPr="00CA7672">
              <w:rPr>
                <w:rFonts w:asciiTheme="minorHAnsi" w:hAnsiTheme="minorHAnsi" w:cstheme="minorHAnsi"/>
                <w:color w:val="000000"/>
                <w:sz w:val="21"/>
                <w:szCs w:val="21"/>
                <w:lang w:eastAsia="en-GB"/>
              </w:rPr>
              <w:t xml:space="preserve">, T. (2016). High connectivity in a long-lived high-Arctic seabird, the ivory gull </w:t>
            </w:r>
            <w:proofErr w:type="spellStart"/>
            <w:r w:rsidRPr="00CA7672">
              <w:rPr>
                <w:rFonts w:asciiTheme="minorHAnsi" w:hAnsiTheme="minorHAnsi" w:cstheme="minorHAnsi"/>
                <w:i/>
                <w:iCs/>
                <w:color w:val="000000"/>
                <w:sz w:val="21"/>
                <w:szCs w:val="21"/>
                <w:lang w:eastAsia="en-GB"/>
              </w:rPr>
              <w:t>Pagophila</w:t>
            </w:r>
            <w:proofErr w:type="spellEnd"/>
            <w:r w:rsidRPr="00CA7672">
              <w:rPr>
                <w:rFonts w:asciiTheme="minorHAnsi" w:hAnsiTheme="minorHAnsi" w:cstheme="minorHAnsi"/>
                <w:i/>
                <w:iCs/>
                <w:color w:val="000000"/>
                <w:sz w:val="21"/>
                <w:szCs w:val="21"/>
                <w:lang w:eastAsia="en-GB"/>
              </w:rPr>
              <w:t xml:space="preserve"> </w:t>
            </w:r>
            <w:proofErr w:type="spellStart"/>
            <w:r w:rsidRPr="00CA7672">
              <w:rPr>
                <w:rFonts w:asciiTheme="minorHAnsi" w:hAnsiTheme="minorHAnsi" w:cstheme="minorHAnsi"/>
                <w:i/>
                <w:iCs/>
                <w:color w:val="000000"/>
                <w:sz w:val="21"/>
                <w:szCs w:val="21"/>
                <w:lang w:eastAsia="en-GB"/>
              </w:rPr>
              <w:t>eburnea</w:t>
            </w:r>
            <w:proofErr w:type="spellEnd"/>
            <w:r w:rsidRPr="00CA7672">
              <w:rPr>
                <w:rFonts w:asciiTheme="minorHAnsi" w:hAnsiTheme="minorHAnsi" w:cstheme="minorHAnsi"/>
                <w:color w:val="000000"/>
                <w:sz w:val="21"/>
                <w:szCs w:val="21"/>
                <w:lang w:eastAsia="en-GB"/>
              </w:rPr>
              <w:t>. Polar Biology 39: 211- 236. Doi: 10.1007/s00300-015-1775-z.</w:t>
            </w:r>
          </w:p>
        </w:tc>
      </w:tr>
    </w:tbl>
    <w:p w14:paraId="00ECDE96" w14:textId="77777777" w:rsidR="00645F89" w:rsidRPr="00CA7672" w:rsidRDefault="00645F89" w:rsidP="00F32F3E">
      <w:pPr>
        <w:rPr>
          <w:rFonts w:asciiTheme="minorHAnsi" w:eastAsia="Calibri" w:hAnsiTheme="minorHAnsi" w:cstheme="minorHAnsi"/>
        </w:rPr>
      </w:pPr>
    </w:p>
    <w:sectPr w:rsidR="00645F89" w:rsidRPr="00CA7672" w:rsidSect="00645F89">
      <w:headerReference w:type="even" r:id="rId58"/>
      <w:headerReference w:type="default" r:id="rId59"/>
      <w:footerReference w:type="even" r:id="rId60"/>
      <w:footerReference w:type="default" r:id="rId6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8287" w14:textId="77777777" w:rsidR="00A3238F" w:rsidRDefault="00A3238F">
      <w:pPr>
        <w:spacing w:after="0" w:line="240" w:lineRule="auto"/>
      </w:pPr>
      <w:r>
        <w:separator/>
      </w:r>
    </w:p>
  </w:endnote>
  <w:endnote w:type="continuationSeparator" w:id="0">
    <w:p w14:paraId="374DAEC1" w14:textId="77777777" w:rsidR="00A3238F" w:rsidRDefault="00A32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0D889" w14:textId="77777777" w:rsidR="00B33D64" w:rsidRDefault="00B33D64">
    <w:pPr>
      <w:pStyle w:val="Footer"/>
    </w:pPr>
  </w:p>
  <w:p w14:paraId="3D6B5837" w14:textId="77777777" w:rsidR="007D7A43" w:rsidRDefault="007D7A4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050124"/>
      <w:docPartObj>
        <w:docPartGallery w:val="Page Numbers (Bottom of Page)"/>
        <w:docPartUnique/>
      </w:docPartObj>
    </w:sdtPr>
    <w:sdtEndPr/>
    <w:sdtContent>
      <w:sdt>
        <w:sdtPr>
          <w:id w:val="-1769616900"/>
          <w:docPartObj>
            <w:docPartGallery w:val="Page Numbers (Top of Page)"/>
            <w:docPartUnique/>
          </w:docPartObj>
        </w:sdtPr>
        <w:sdtEndPr/>
        <w:sdtContent>
          <w:p w14:paraId="0FADFCD1" w14:textId="061E8E6B" w:rsidR="00101C11" w:rsidRDefault="00101C11">
            <w:pPr>
              <w:pStyle w:val="Footer"/>
              <w:jc w:val="right"/>
            </w:pPr>
            <w:r w:rsidRPr="00101C11">
              <w:rPr>
                <w:sz w:val="24"/>
                <w:szCs w:val="24"/>
              </w:rPr>
              <w:fldChar w:fldCharType="begin"/>
            </w:r>
            <w:r w:rsidRPr="00101C11">
              <w:instrText xml:space="preserve"> PAGE </w:instrText>
            </w:r>
            <w:r w:rsidRPr="00101C11">
              <w:rPr>
                <w:sz w:val="24"/>
                <w:szCs w:val="24"/>
              </w:rPr>
              <w:fldChar w:fldCharType="separate"/>
            </w:r>
            <w:r w:rsidRPr="00101C11">
              <w:rPr>
                <w:noProof/>
              </w:rPr>
              <w:t>2</w:t>
            </w:r>
            <w:r w:rsidRPr="00101C11">
              <w:rPr>
                <w:sz w:val="24"/>
                <w:szCs w:val="24"/>
              </w:rPr>
              <w:fldChar w:fldCharType="end"/>
            </w:r>
            <w:r w:rsidRPr="00101C11">
              <w:t xml:space="preserve"> of </w:t>
            </w:r>
            <w:fldSimple w:instr=" NUMPAGES  ">
              <w:r w:rsidRPr="00101C11">
                <w:rPr>
                  <w:noProof/>
                </w:rPr>
                <w:t>2</w:t>
              </w:r>
            </w:fldSimple>
          </w:p>
        </w:sdtContent>
      </w:sdt>
    </w:sdtContent>
  </w:sdt>
  <w:p w14:paraId="06FE2FA1" w14:textId="51B01403" w:rsidR="002D700B" w:rsidRPr="003B70B7" w:rsidRDefault="00101C11" w:rsidP="003B70B7">
    <w:pPr>
      <w:pBdr>
        <w:top w:val="single" w:sz="4" w:space="1" w:color="auto"/>
      </w:pBdr>
      <w:tabs>
        <w:tab w:val="clear" w:pos="567"/>
        <w:tab w:val="center" w:pos="4820"/>
        <w:tab w:val="right" w:pos="9639"/>
      </w:tabs>
      <w:spacing w:before="60"/>
      <w:rPr>
        <w:sz w:val="20"/>
      </w:rPr>
    </w:pPr>
    <w:r w:rsidRPr="00C21553">
      <w:rPr>
        <w:sz w:val="20"/>
      </w:rPr>
      <w:t>OSPAR Commission</w:t>
    </w:r>
    <w:r w:rsidRPr="00C21553">
      <w:rPr>
        <w:sz w:val="20"/>
      </w:rPr>
      <w:tab/>
    </w:r>
    <w:r w:rsidRPr="00C21553">
      <w:rPr>
        <w:sz w:val="20"/>
      </w:rPr>
      <w:tab/>
    </w:r>
    <w:r w:rsidR="00B33D64" w:rsidRPr="00C21553">
      <w:rPr>
        <w:sz w:val="20"/>
      </w:rPr>
      <w:t>A_</w:t>
    </w:r>
    <w:r w:rsidR="004316D4" w:rsidRPr="00C21553">
      <w:rPr>
        <w:sz w:val="20"/>
      </w:rPr>
      <w:t>EIHA</w:t>
    </w:r>
    <w:r w:rsidRPr="00C21553">
      <w:rPr>
        <w:sz w:val="20"/>
      </w:rPr>
      <w:t xml:space="preserve"> 25/0</w:t>
    </w:r>
    <w:r w:rsidR="00C21553" w:rsidRPr="00C21553">
      <w:rPr>
        <w:sz w:val="20"/>
      </w:rPr>
      <w:t>1</w:t>
    </w:r>
    <w:r w:rsidRPr="00C21553">
      <w:rPr>
        <w:sz w:val="20"/>
      </w:rPr>
      <w:t>/</w:t>
    </w:r>
    <w:r w:rsidR="00F32F3E" w:rsidRPr="00C21553">
      <w:rPr>
        <w:sz w:val="20"/>
      </w:rPr>
      <w:t>0</w:t>
    </w:r>
    <w:r w:rsidR="00C21553" w:rsidRPr="00C21553">
      <w:rPr>
        <w:sz w:val="20"/>
      </w:rPr>
      <w:t>5</w:t>
    </w:r>
  </w:p>
  <w:p w14:paraId="2AF87639" w14:textId="77777777" w:rsidR="007D7A43" w:rsidRDefault="007D7A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74C2E" w14:textId="77777777" w:rsidR="00A3238F" w:rsidRDefault="00A3238F">
      <w:r>
        <w:separator/>
      </w:r>
    </w:p>
  </w:footnote>
  <w:footnote w:type="continuationSeparator" w:id="0">
    <w:p w14:paraId="120512BC" w14:textId="77777777" w:rsidR="00A3238F" w:rsidRDefault="00A32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5F85E" w14:textId="77777777" w:rsidR="00B33D64" w:rsidRDefault="00B33D64">
    <w:pPr>
      <w:pStyle w:val="Header"/>
    </w:pPr>
  </w:p>
  <w:p w14:paraId="6E73B876" w14:textId="77777777" w:rsidR="007D7A43" w:rsidRDefault="007D7A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85417" w14:textId="77777777" w:rsidR="00B33D64" w:rsidRDefault="00B33D64">
    <w:pPr>
      <w:pStyle w:val="Header"/>
    </w:pPr>
  </w:p>
  <w:p w14:paraId="1D39A5F5" w14:textId="77777777" w:rsidR="007D7A43" w:rsidRDefault="007D7A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52BD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4E7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522E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F66E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580F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DC6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FC8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79A84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586894"/>
    <w:lvl w:ilvl="0">
      <w:start w:val="1"/>
      <w:numFmt w:val="decimal"/>
      <w:lvlText w:val="%1."/>
      <w:lvlJc w:val="left"/>
      <w:pPr>
        <w:tabs>
          <w:tab w:val="num" w:pos="360"/>
        </w:tabs>
        <w:ind w:left="360" w:hanging="360"/>
      </w:pPr>
    </w:lvl>
  </w:abstractNum>
  <w:abstractNum w:abstractNumId="9" w15:restartNumberingAfterBreak="0">
    <w:nsid w:val="01582CE0"/>
    <w:multiLevelType w:val="multilevel"/>
    <w:tmpl w:val="AF9EE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7502E6"/>
    <w:multiLevelType w:val="multilevel"/>
    <w:tmpl w:val="B96AB0A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4211321"/>
    <w:multiLevelType w:val="hybridMultilevel"/>
    <w:tmpl w:val="2CF62AA0"/>
    <w:lvl w:ilvl="0" w:tplc="692061A2">
      <w:start w:val="4"/>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04655417"/>
    <w:multiLevelType w:val="hybridMultilevel"/>
    <w:tmpl w:val="5DA4C1AC"/>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184D21"/>
    <w:multiLevelType w:val="hybridMultilevel"/>
    <w:tmpl w:val="54B62D4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6503F0"/>
    <w:multiLevelType w:val="hybridMultilevel"/>
    <w:tmpl w:val="5ABA0BF4"/>
    <w:lvl w:ilvl="0" w:tplc="E6667134">
      <w:start w:val="1"/>
      <w:numFmt w:val="lowerRoman"/>
      <w:lvlText w:val="%1."/>
      <w:lvlJc w:val="right"/>
      <w:pPr>
        <w:ind w:left="720" w:hanging="360"/>
      </w:pPr>
    </w:lvl>
    <w:lvl w:ilvl="1" w:tplc="30A6DBB8">
      <w:start w:val="1"/>
      <w:numFmt w:val="lowerLetter"/>
      <w:lvlText w:val="%2."/>
      <w:lvlJc w:val="left"/>
      <w:pPr>
        <w:ind w:left="1440" w:hanging="360"/>
      </w:pPr>
    </w:lvl>
    <w:lvl w:ilvl="2" w:tplc="D8B4F218">
      <w:start w:val="1"/>
      <w:numFmt w:val="lowerRoman"/>
      <w:lvlText w:val="%3."/>
      <w:lvlJc w:val="right"/>
      <w:pPr>
        <w:ind w:left="2160" w:hanging="180"/>
      </w:pPr>
    </w:lvl>
    <w:lvl w:ilvl="3" w:tplc="09D6DA6C">
      <w:start w:val="1"/>
      <w:numFmt w:val="decimal"/>
      <w:lvlText w:val="%4."/>
      <w:lvlJc w:val="left"/>
      <w:pPr>
        <w:ind w:left="2880" w:hanging="360"/>
      </w:pPr>
    </w:lvl>
    <w:lvl w:ilvl="4" w:tplc="0DFA90EA">
      <w:start w:val="1"/>
      <w:numFmt w:val="lowerLetter"/>
      <w:lvlText w:val="%5."/>
      <w:lvlJc w:val="left"/>
      <w:pPr>
        <w:ind w:left="3600" w:hanging="360"/>
      </w:pPr>
    </w:lvl>
    <w:lvl w:ilvl="5" w:tplc="E81ABAE4">
      <w:start w:val="1"/>
      <w:numFmt w:val="lowerRoman"/>
      <w:lvlText w:val="%6."/>
      <w:lvlJc w:val="right"/>
      <w:pPr>
        <w:ind w:left="4320" w:hanging="180"/>
      </w:pPr>
    </w:lvl>
    <w:lvl w:ilvl="6" w:tplc="5CC2F626">
      <w:start w:val="1"/>
      <w:numFmt w:val="decimal"/>
      <w:lvlText w:val="%7."/>
      <w:lvlJc w:val="left"/>
      <w:pPr>
        <w:ind w:left="5040" w:hanging="360"/>
      </w:pPr>
    </w:lvl>
    <w:lvl w:ilvl="7" w:tplc="BD364560">
      <w:start w:val="1"/>
      <w:numFmt w:val="lowerLetter"/>
      <w:lvlText w:val="%8."/>
      <w:lvlJc w:val="left"/>
      <w:pPr>
        <w:ind w:left="5760" w:hanging="360"/>
      </w:pPr>
    </w:lvl>
    <w:lvl w:ilvl="8" w:tplc="DD50D364">
      <w:start w:val="1"/>
      <w:numFmt w:val="lowerRoman"/>
      <w:lvlText w:val="%9."/>
      <w:lvlJc w:val="right"/>
      <w:pPr>
        <w:ind w:left="6480" w:hanging="180"/>
      </w:pPr>
    </w:lvl>
  </w:abstractNum>
  <w:abstractNum w:abstractNumId="15" w15:restartNumberingAfterBreak="0">
    <w:nsid w:val="0E2558E2"/>
    <w:multiLevelType w:val="hybridMultilevel"/>
    <w:tmpl w:val="2E98E252"/>
    <w:lvl w:ilvl="0" w:tplc="77BA83AE">
      <w:start w:val="2"/>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0F73595F"/>
    <w:multiLevelType w:val="hybridMultilevel"/>
    <w:tmpl w:val="C88C1B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E90CEE"/>
    <w:multiLevelType w:val="hybridMultilevel"/>
    <w:tmpl w:val="33A21B6E"/>
    <w:lvl w:ilvl="0" w:tplc="D2FEE92E">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4A6B8A"/>
    <w:multiLevelType w:val="multilevel"/>
    <w:tmpl w:val="A2B442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792F93"/>
    <w:multiLevelType w:val="hybridMultilevel"/>
    <w:tmpl w:val="8E6EB4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0E76E13"/>
    <w:multiLevelType w:val="hybridMultilevel"/>
    <w:tmpl w:val="4FFA8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195B53"/>
    <w:multiLevelType w:val="hybridMultilevel"/>
    <w:tmpl w:val="711CB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8D1A3C"/>
    <w:multiLevelType w:val="hybridMultilevel"/>
    <w:tmpl w:val="2BA6F31A"/>
    <w:lvl w:ilvl="0" w:tplc="D9E240E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32CC67C1"/>
    <w:multiLevelType w:val="hybridMultilevel"/>
    <w:tmpl w:val="4B4AC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F4981"/>
    <w:multiLevelType w:val="hybridMultilevel"/>
    <w:tmpl w:val="496AF3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79A3AEB"/>
    <w:multiLevelType w:val="hybridMultilevel"/>
    <w:tmpl w:val="F9746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374B7E"/>
    <w:multiLevelType w:val="hybridMultilevel"/>
    <w:tmpl w:val="3C8C2C52"/>
    <w:lvl w:ilvl="0" w:tplc="D2FEE92E">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502BF"/>
    <w:multiLevelType w:val="hybridMultilevel"/>
    <w:tmpl w:val="00E6C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00B2B"/>
    <w:multiLevelType w:val="multilevel"/>
    <w:tmpl w:val="6DACD8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2225ADA"/>
    <w:multiLevelType w:val="hybridMultilevel"/>
    <w:tmpl w:val="666CA758"/>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B61119"/>
    <w:multiLevelType w:val="hybridMultilevel"/>
    <w:tmpl w:val="5C30113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1" w15:restartNumberingAfterBreak="0">
    <w:nsid w:val="47624053"/>
    <w:multiLevelType w:val="hybridMultilevel"/>
    <w:tmpl w:val="08422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C012C6"/>
    <w:multiLevelType w:val="hybridMultilevel"/>
    <w:tmpl w:val="DE3EA31A"/>
    <w:lvl w:ilvl="0" w:tplc="19788CB6">
      <w:numFmt w:val="bullet"/>
      <w:lvlText w:val="-"/>
      <w:lvlJc w:val="left"/>
      <w:pPr>
        <w:ind w:left="36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E326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40A413B"/>
    <w:multiLevelType w:val="hybridMultilevel"/>
    <w:tmpl w:val="487E6466"/>
    <w:lvl w:ilvl="0" w:tplc="0409000F">
      <w:start w:val="1"/>
      <w:numFmt w:val="decimal"/>
      <w:lvlText w:val="%1."/>
      <w:lvlJc w:val="left"/>
      <w:pPr>
        <w:ind w:left="717" w:hanging="360"/>
      </w:p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5BCA2F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F6747F2"/>
    <w:multiLevelType w:val="hybridMultilevel"/>
    <w:tmpl w:val="1160D084"/>
    <w:lvl w:ilvl="0" w:tplc="0D107C44">
      <w:start w:val="1"/>
      <w:numFmt w:val="bullet"/>
      <w:pStyle w:val="ListBulletStyle"/>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F15B2B"/>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4846027"/>
    <w:multiLevelType w:val="hybridMultilevel"/>
    <w:tmpl w:val="0B02B8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60A65B3"/>
    <w:multiLevelType w:val="multilevel"/>
    <w:tmpl w:val="90708F3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690A6224"/>
    <w:multiLevelType w:val="hybridMultilevel"/>
    <w:tmpl w:val="71822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396F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A244BA"/>
    <w:multiLevelType w:val="hybridMultilevel"/>
    <w:tmpl w:val="D494E2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2D4EB4"/>
    <w:multiLevelType w:val="hybridMultilevel"/>
    <w:tmpl w:val="4858E202"/>
    <w:lvl w:ilvl="0" w:tplc="19788CB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DD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AF3C1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8034214">
    <w:abstractNumId w:val="39"/>
  </w:num>
  <w:num w:numId="2" w16cid:durableId="1994942126">
    <w:abstractNumId w:val="18"/>
  </w:num>
  <w:num w:numId="3" w16cid:durableId="1449935391">
    <w:abstractNumId w:val="10"/>
  </w:num>
  <w:num w:numId="4" w16cid:durableId="1267425493">
    <w:abstractNumId w:val="24"/>
  </w:num>
  <w:num w:numId="5" w16cid:durableId="346561198">
    <w:abstractNumId w:val="20"/>
  </w:num>
  <w:num w:numId="6" w16cid:durableId="904412019">
    <w:abstractNumId w:val="40"/>
  </w:num>
  <w:num w:numId="7" w16cid:durableId="1293099006">
    <w:abstractNumId w:val="38"/>
  </w:num>
  <w:num w:numId="8" w16cid:durableId="334577686">
    <w:abstractNumId w:val="27"/>
  </w:num>
  <w:num w:numId="9" w16cid:durableId="88084345">
    <w:abstractNumId w:val="45"/>
  </w:num>
  <w:num w:numId="10" w16cid:durableId="472020140">
    <w:abstractNumId w:val="44"/>
  </w:num>
  <w:num w:numId="11" w16cid:durableId="1808086827">
    <w:abstractNumId w:val="35"/>
  </w:num>
  <w:num w:numId="12" w16cid:durableId="1854417800">
    <w:abstractNumId w:val="41"/>
  </w:num>
  <w:num w:numId="13" w16cid:durableId="774255779">
    <w:abstractNumId w:val="33"/>
  </w:num>
  <w:num w:numId="14" w16cid:durableId="427234080">
    <w:abstractNumId w:val="28"/>
  </w:num>
  <w:num w:numId="15" w16cid:durableId="1562444465">
    <w:abstractNumId w:val="37"/>
  </w:num>
  <w:num w:numId="16" w16cid:durableId="1716349324">
    <w:abstractNumId w:val="36"/>
  </w:num>
  <w:num w:numId="17" w16cid:durableId="132869158">
    <w:abstractNumId w:val="8"/>
  </w:num>
  <w:num w:numId="18" w16cid:durableId="995763026">
    <w:abstractNumId w:val="7"/>
  </w:num>
  <w:num w:numId="19" w16cid:durableId="232667023">
    <w:abstractNumId w:val="6"/>
  </w:num>
  <w:num w:numId="20" w16cid:durableId="1304695048">
    <w:abstractNumId w:val="5"/>
  </w:num>
  <w:num w:numId="21" w16cid:durableId="445394533">
    <w:abstractNumId w:val="4"/>
  </w:num>
  <w:num w:numId="22" w16cid:durableId="1405180007">
    <w:abstractNumId w:val="3"/>
  </w:num>
  <w:num w:numId="23" w16cid:durableId="1343315843">
    <w:abstractNumId w:val="2"/>
  </w:num>
  <w:num w:numId="24" w16cid:durableId="1522354579">
    <w:abstractNumId w:val="1"/>
  </w:num>
  <w:num w:numId="25" w16cid:durableId="1492870509">
    <w:abstractNumId w:val="0"/>
  </w:num>
  <w:num w:numId="26" w16cid:durableId="1500388604">
    <w:abstractNumId w:val="14"/>
  </w:num>
  <w:num w:numId="27" w16cid:durableId="1285887241">
    <w:abstractNumId w:val="31"/>
  </w:num>
  <w:num w:numId="28" w16cid:durableId="1358847152">
    <w:abstractNumId w:val="13"/>
  </w:num>
  <w:num w:numId="29" w16cid:durableId="1424491180">
    <w:abstractNumId w:val="22"/>
  </w:num>
  <w:num w:numId="30" w16cid:durableId="1533301556">
    <w:abstractNumId w:val="43"/>
  </w:num>
  <w:num w:numId="31" w16cid:durableId="1914470156">
    <w:abstractNumId w:val="12"/>
  </w:num>
  <w:num w:numId="32" w16cid:durableId="1342783319">
    <w:abstractNumId w:val="34"/>
  </w:num>
  <w:num w:numId="33" w16cid:durableId="511578194">
    <w:abstractNumId w:val="32"/>
  </w:num>
  <w:num w:numId="34" w16cid:durableId="9307888">
    <w:abstractNumId w:val="23"/>
  </w:num>
  <w:num w:numId="35" w16cid:durableId="2046522851">
    <w:abstractNumId w:val="42"/>
  </w:num>
  <w:num w:numId="36" w16cid:durableId="1466311149">
    <w:abstractNumId w:val="29"/>
  </w:num>
  <w:num w:numId="37" w16cid:durableId="1889487194">
    <w:abstractNumId w:val="25"/>
  </w:num>
  <w:num w:numId="38" w16cid:durableId="1827889786">
    <w:abstractNumId w:val="19"/>
  </w:num>
  <w:num w:numId="39" w16cid:durableId="824591585">
    <w:abstractNumId w:val="21"/>
  </w:num>
  <w:num w:numId="40" w16cid:durableId="1998994729">
    <w:abstractNumId w:val="15"/>
  </w:num>
  <w:num w:numId="41" w16cid:durableId="137499860">
    <w:abstractNumId w:val="30"/>
  </w:num>
  <w:num w:numId="42" w16cid:durableId="218710197">
    <w:abstractNumId w:val="11"/>
  </w:num>
  <w:num w:numId="43" w16cid:durableId="1951156186">
    <w:abstractNumId w:val="17"/>
  </w:num>
  <w:num w:numId="44" w16cid:durableId="1915310872">
    <w:abstractNumId w:val="26"/>
  </w:num>
  <w:num w:numId="45" w16cid:durableId="1216353491">
    <w:abstractNumId w:val="9"/>
  </w:num>
  <w:num w:numId="46" w16cid:durableId="2494316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00B"/>
    <w:rsid w:val="0005139C"/>
    <w:rsid w:val="00097491"/>
    <w:rsid w:val="000A64B8"/>
    <w:rsid w:val="000D27C8"/>
    <w:rsid w:val="000D2F54"/>
    <w:rsid w:val="000D428F"/>
    <w:rsid w:val="000E5E10"/>
    <w:rsid w:val="000F5AD4"/>
    <w:rsid w:val="0010028B"/>
    <w:rsid w:val="00101C11"/>
    <w:rsid w:val="0011217F"/>
    <w:rsid w:val="001327CC"/>
    <w:rsid w:val="00195ADE"/>
    <w:rsid w:val="001A25A9"/>
    <w:rsid w:val="00205663"/>
    <w:rsid w:val="002145C1"/>
    <w:rsid w:val="0026017E"/>
    <w:rsid w:val="002651D0"/>
    <w:rsid w:val="002818B8"/>
    <w:rsid w:val="00291D0D"/>
    <w:rsid w:val="00292B71"/>
    <w:rsid w:val="002B18E4"/>
    <w:rsid w:val="002B296F"/>
    <w:rsid w:val="002D6988"/>
    <w:rsid w:val="002D700B"/>
    <w:rsid w:val="002F5633"/>
    <w:rsid w:val="002F7928"/>
    <w:rsid w:val="003343CA"/>
    <w:rsid w:val="003636DD"/>
    <w:rsid w:val="00395F20"/>
    <w:rsid w:val="003B6410"/>
    <w:rsid w:val="003B70B7"/>
    <w:rsid w:val="003D507E"/>
    <w:rsid w:val="004142EB"/>
    <w:rsid w:val="004316D4"/>
    <w:rsid w:val="00443420"/>
    <w:rsid w:val="00447ADE"/>
    <w:rsid w:val="00451AAF"/>
    <w:rsid w:val="004B1B74"/>
    <w:rsid w:val="00512D09"/>
    <w:rsid w:val="00513FD8"/>
    <w:rsid w:val="0054567C"/>
    <w:rsid w:val="00553EAD"/>
    <w:rsid w:val="005819D0"/>
    <w:rsid w:val="00581D4C"/>
    <w:rsid w:val="00583BB5"/>
    <w:rsid w:val="005B0930"/>
    <w:rsid w:val="005F5A19"/>
    <w:rsid w:val="00620C25"/>
    <w:rsid w:val="00645F89"/>
    <w:rsid w:val="00695424"/>
    <w:rsid w:val="006E153D"/>
    <w:rsid w:val="006F2A2B"/>
    <w:rsid w:val="007014A4"/>
    <w:rsid w:val="007243BE"/>
    <w:rsid w:val="007A5666"/>
    <w:rsid w:val="007C059B"/>
    <w:rsid w:val="007D7A43"/>
    <w:rsid w:val="00875271"/>
    <w:rsid w:val="008D100D"/>
    <w:rsid w:val="00906CA7"/>
    <w:rsid w:val="00915680"/>
    <w:rsid w:val="0093550F"/>
    <w:rsid w:val="009357E8"/>
    <w:rsid w:val="009542A5"/>
    <w:rsid w:val="009605D4"/>
    <w:rsid w:val="00982FA0"/>
    <w:rsid w:val="00992F76"/>
    <w:rsid w:val="009B76F3"/>
    <w:rsid w:val="00A3238F"/>
    <w:rsid w:val="00A63D48"/>
    <w:rsid w:val="00AE374D"/>
    <w:rsid w:val="00AE7EE4"/>
    <w:rsid w:val="00AF7AE8"/>
    <w:rsid w:val="00B23402"/>
    <w:rsid w:val="00B33D64"/>
    <w:rsid w:val="00B42C52"/>
    <w:rsid w:val="00B5148E"/>
    <w:rsid w:val="00B51EF4"/>
    <w:rsid w:val="00B52B85"/>
    <w:rsid w:val="00B63AAD"/>
    <w:rsid w:val="00B63D5E"/>
    <w:rsid w:val="00B71280"/>
    <w:rsid w:val="00B715DF"/>
    <w:rsid w:val="00B7793B"/>
    <w:rsid w:val="00BA01AF"/>
    <w:rsid w:val="00BC05C0"/>
    <w:rsid w:val="00BF78F3"/>
    <w:rsid w:val="00C21553"/>
    <w:rsid w:val="00C25D58"/>
    <w:rsid w:val="00C340A0"/>
    <w:rsid w:val="00C775B1"/>
    <w:rsid w:val="00C805FD"/>
    <w:rsid w:val="00C847C0"/>
    <w:rsid w:val="00C955E5"/>
    <w:rsid w:val="00CA7672"/>
    <w:rsid w:val="00CC0715"/>
    <w:rsid w:val="00CC4B15"/>
    <w:rsid w:val="00CF546F"/>
    <w:rsid w:val="00D935CE"/>
    <w:rsid w:val="00DB5134"/>
    <w:rsid w:val="00DF2C3A"/>
    <w:rsid w:val="00DF5C93"/>
    <w:rsid w:val="00DF746A"/>
    <w:rsid w:val="00E34546"/>
    <w:rsid w:val="00E34C17"/>
    <w:rsid w:val="00EB62B8"/>
    <w:rsid w:val="00EB7D1C"/>
    <w:rsid w:val="00EC6A6B"/>
    <w:rsid w:val="00EE1787"/>
    <w:rsid w:val="00F07FD4"/>
    <w:rsid w:val="00F32F3E"/>
    <w:rsid w:val="00F34400"/>
    <w:rsid w:val="00F71960"/>
    <w:rsid w:val="00F77B9E"/>
    <w:rsid w:val="00F8616B"/>
    <w:rsid w:val="00FB0A2F"/>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70B5201"/>
  <w15:docId w15:val="{BAA2EE3A-A68D-497A-AD51-1CBF1B84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7B5"/>
    <w:pPr>
      <w:tabs>
        <w:tab w:val="left" w:pos="567"/>
      </w:tabs>
      <w:spacing w:after="120" w:line="276" w:lineRule="auto"/>
      <w:jc w:val="both"/>
    </w:pPr>
    <w:rPr>
      <w:rFonts w:ascii="Calibri" w:hAnsi="Calibri"/>
      <w:color w:val="00000A"/>
      <w:sz w:val="22"/>
      <w:lang w:eastAsia="en-US"/>
    </w:rPr>
  </w:style>
  <w:style w:type="paragraph" w:styleId="Heading1">
    <w:name w:val="heading 1"/>
    <w:basedOn w:val="Title"/>
    <w:link w:val="Heading1Char"/>
    <w:uiPriority w:val="9"/>
    <w:qFormat/>
    <w:rsid w:val="00546370"/>
    <w:pPr>
      <w:spacing w:before="140" w:after="140" w:line="280" w:lineRule="atLeast"/>
      <w:jc w:val="left"/>
      <w:outlineLvl w:val="0"/>
    </w:pPr>
    <w:rPr>
      <w:rFonts w:ascii="Arial" w:hAnsi="Arial"/>
      <w:lang w:val="en-US"/>
    </w:rPr>
  </w:style>
  <w:style w:type="paragraph" w:styleId="Heading2">
    <w:name w:val="heading 2"/>
    <w:basedOn w:val="Title"/>
    <w:link w:val="Heading2Char"/>
    <w:uiPriority w:val="9"/>
    <w:qFormat/>
    <w:rsid w:val="00381F9B"/>
    <w:pPr>
      <w:spacing w:before="140" w:after="140" w:line="280" w:lineRule="atLeast"/>
      <w:jc w:val="left"/>
      <w:outlineLvl w:val="1"/>
    </w:pPr>
    <w:rPr>
      <w:rFonts w:ascii="Calibri" w:hAnsi="Calibri"/>
      <w:b/>
      <w:lang w:val="en-US"/>
    </w:rPr>
  </w:style>
  <w:style w:type="paragraph" w:styleId="Heading3">
    <w:name w:val="heading 3"/>
    <w:basedOn w:val="Title"/>
    <w:link w:val="Heading3Char"/>
    <w:uiPriority w:val="9"/>
    <w:qFormat/>
    <w:rsid w:val="00546370"/>
    <w:pPr>
      <w:spacing w:before="140" w:after="140" w:line="280" w:lineRule="atLeast"/>
      <w:jc w:val="left"/>
      <w:outlineLvl w:val="2"/>
    </w:pPr>
    <w:rPr>
      <w:rFonts w:ascii="Arial" w:hAnsi="Arial"/>
      <w:b/>
      <w:lang w:val="en-US"/>
    </w:rPr>
  </w:style>
  <w:style w:type="paragraph" w:styleId="Heading4">
    <w:name w:val="heading 4"/>
    <w:basedOn w:val="Normal"/>
    <w:next w:val="Normal"/>
    <w:link w:val="Heading4Char"/>
    <w:uiPriority w:val="9"/>
    <w:semiHidden/>
    <w:unhideWhenUsed/>
    <w:qFormat/>
    <w:rsid w:val="00195ADE"/>
    <w:pPr>
      <w:keepNext/>
      <w:keepLines/>
      <w:spacing w:before="40" w:after="0"/>
      <w:outlineLvl w:val="3"/>
    </w:pPr>
    <w:rPr>
      <w:rFonts w:ascii="Arial" w:hAnsi="Arial"/>
      <w:iCs/>
      <w:color w:val="auto"/>
      <w:sz w:val="20"/>
      <w:lang w:eastAsia="en-GB"/>
    </w:rPr>
  </w:style>
  <w:style w:type="paragraph" w:styleId="Heading5">
    <w:name w:val="heading 5"/>
    <w:basedOn w:val="Normal"/>
    <w:next w:val="Normal"/>
    <w:link w:val="Heading5Char"/>
    <w:uiPriority w:val="9"/>
    <w:semiHidden/>
    <w:unhideWhenUsed/>
    <w:qFormat/>
    <w:rsid w:val="00195ADE"/>
    <w:pPr>
      <w:keepNext/>
      <w:keepLines/>
      <w:spacing w:before="40" w:after="0"/>
      <w:outlineLvl w:val="4"/>
    </w:pPr>
    <w:rPr>
      <w:rFonts w:ascii="Arial" w:hAnsi="Arial"/>
      <w:b/>
      <w:bCs/>
      <w:color w:val="7F7F7F"/>
      <w:sz w:val="20"/>
      <w:lang w:eastAsia="en-GB"/>
    </w:rPr>
  </w:style>
  <w:style w:type="paragraph" w:styleId="Heading6">
    <w:name w:val="heading 6"/>
    <w:basedOn w:val="Normal"/>
    <w:next w:val="Normal"/>
    <w:link w:val="Heading6Char"/>
    <w:uiPriority w:val="9"/>
    <w:semiHidden/>
    <w:unhideWhenUsed/>
    <w:qFormat/>
    <w:rsid w:val="00195ADE"/>
    <w:pPr>
      <w:keepNext/>
      <w:keepLines/>
      <w:spacing w:before="40" w:after="0"/>
      <w:outlineLvl w:val="5"/>
    </w:pPr>
    <w:rPr>
      <w:rFonts w:ascii="Arial" w:hAnsi="Arial"/>
      <w:b/>
      <w:bCs/>
      <w:i/>
      <w:iCs/>
      <w:color w:val="7F7F7F"/>
      <w:sz w:val="20"/>
      <w:lang w:eastAsia="en-GB"/>
    </w:rPr>
  </w:style>
  <w:style w:type="paragraph" w:styleId="Heading7">
    <w:name w:val="heading 7"/>
    <w:basedOn w:val="Normal"/>
    <w:next w:val="Normal"/>
    <w:link w:val="Heading7Char"/>
    <w:uiPriority w:val="9"/>
    <w:semiHidden/>
    <w:unhideWhenUsed/>
    <w:qFormat/>
    <w:rsid w:val="00195ADE"/>
    <w:pPr>
      <w:keepNext/>
      <w:keepLines/>
      <w:spacing w:before="40" w:after="0"/>
      <w:outlineLvl w:val="6"/>
    </w:pPr>
    <w:rPr>
      <w:rFonts w:ascii="Arial" w:hAnsi="Arial"/>
      <w:i/>
      <w:iCs/>
      <w:color w:val="auto"/>
      <w:sz w:val="20"/>
      <w:lang w:eastAsia="en-GB"/>
    </w:rPr>
  </w:style>
  <w:style w:type="paragraph" w:styleId="Heading8">
    <w:name w:val="heading 8"/>
    <w:basedOn w:val="Normal"/>
    <w:next w:val="Normal"/>
    <w:link w:val="Heading8Char"/>
    <w:uiPriority w:val="9"/>
    <w:semiHidden/>
    <w:unhideWhenUsed/>
    <w:qFormat/>
    <w:rsid w:val="00195ADE"/>
    <w:pPr>
      <w:keepNext/>
      <w:keepLines/>
      <w:spacing w:before="40" w:after="0"/>
      <w:outlineLvl w:val="7"/>
    </w:pPr>
    <w:rPr>
      <w:rFonts w:ascii="Arial" w:hAnsi="Arial"/>
      <w:color w:val="auto"/>
      <w:sz w:val="20"/>
      <w:lang w:eastAsia="en-GB"/>
    </w:rPr>
  </w:style>
  <w:style w:type="paragraph" w:styleId="Heading9">
    <w:name w:val="heading 9"/>
    <w:basedOn w:val="Normal"/>
    <w:next w:val="Normal"/>
    <w:link w:val="Heading9Char"/>
    <w:uiPriority w:val="9"/>
    <w:semiHidden/>
    <w:unhideWhenUsed/>
    <w:qFormat/>
    <w:rsid w:val="00195ADE"/>
    <w:pPr>
      <w:keepNext/>
      <w:keepLines/>
      <w:spacing w:before="40" w:after="0"/>
      <w:outlineLvl w:val="8"/>
    </w:pPr>
    <w:rPr>
      <w:rFonts w:ascii="Arial" w:hAnsi="Arial"/>
      <w:i/>
      <w:iCs/>
      <w:color w:val="auto"/>
      <w:spacing w:val="5"/>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qFormat/>
    <w:rsid w:val="00BC7E24"/>
    <w:rPr>
      <w:rFonts w:ascii="Arial" w:hAnsi="Arial"/>
      <w:sz w:val="18"/>
    </w:rPr>
  </w:style>
  <w:style w:type="character" w:styleId="FollowedHyperlink">
    <w:name w:val="FollowedHyperlink"/>
    <w:uiPriority w:val="99"/>
    <w:qFormat/>
    <w:rPr>
      <w:color w:val="808080"/>
      <w:u w:val="none"/>
    </w:rPr>
  </w:style>
  <w:style w:type="character" w:customStyle="1" w:styleId="LienInternet">
    <w:name w:val="Lien Internet"/>
    <w:rsid w:val="00546370"/>
    <w:rPr>
      <w:rFonts w:ascii="Arial" w:hAnsi="Arial"/>
      <w:color w:val="16288E"/>
      <w:u w:val="none"/>
    </w:rPr>
  </w:style>
  <w:style w:type="character" w:customStyle="1" w:styleId="Heading1Char">
    <w:name w:val="Heading 1 Char"/>
    <w:link w:val="Heading1"/>
    <w:uiPriority w:val="9"/>
    <w:qFormat/>
    <w:rsid w:val="00EE7DC4"/>
    <w:rPr>
      <w:rFonts w:ascii="Arial" w:hAnsi="Arial"/>
      <w:sz w:val="28"/>
      <w:lang w:val="en-US" w:eastAsia="en-US" w:bidi="ar-SA"/>
    </w:rPr>
  </w:style>
  <w:style w:type="character" w:customStyle="1" w:styleId="Heading2Char">
    <w:name w:val="Heading 2 Char"/>
    <w:link w:val="Heading2"/>
    <w:uiPriority w:val="9"/>
    <w:qFormat/>
    <w:rsid w:val="00381F9B"/>
    <w:rPr>
      <w:rFonts w:ascii="Calibri" w:hAnsi="Calibri"/>
      <w:b/>
      <w:sz w:val="28"/>
      <w:lang w:val="en-US" w:eastAsia="en-US"/>
    </w:rPr>
  </w:style>
  <w:style w:type="character" w:customStyle="1" w:styleId="Heading3Char">
    <w:name w:val="Heading 3 Char"/>
    <w:link w:val="Heading3"/>
    <w:uiPriority w:val="9"/>
    <w:qFormat/>
    <w:rsid w:val="00EE7DC4"/>
    <w:rPr>
      <w:rFonts w:ascii="Arial" w:hAnsi="Arial"/>
      <w:b/>
      <w:lang w:val="en-US" w:eastAsia="en-US" w:bidi="ar-SA"/>
    </w:rPr>
  </w:style>
  <w:style w:type="character" w:customStyle="1" w:styleId="TitleChar">
    <w:name w:val="Title Char"/>
    <w:link w:val="Titreprincipal"/>
    <w:uiPriority w:val="10"/>
    <w:qFormat/>
    <w:rsid w:val="00EE7DC4"/>
    <w:rPr>
      <w:rFonts w:ascii="Arial" w:hAnsi="Arial"/>
      <w:sz w:val="40"/>
      <w:lang w:val="en-US" w:eastAsia="en-US" w:bidi="ar-SA"/>
    </w:rPr>
  </w:style>
  <w:style w:type="character" w:styleId="FootnoteReference">
    <w:name w:val="footnote reference"/>
    <w:aliases w:val="stylish"/>
    <w:qFormat/>
    <w:rsid w:val="00D02098"/>
    <w:rPr>
      <w:vertAlign w:val="superscript"/>
    </w:rPr>
  </w:style>
  <w:style w:type="character" w:styleId="CommentReference">
    <w:name w:val="annotation reference"/>
    <w:basedOn w:val="DefaultParagraphFont"/>
    <w:uiPriority w:val="99"/>
    <w:unhideWhenUsed/>
    <w:qFormat/>
    <w:rsid w:val="001936F6"/>
    <w:rPr>
      <w:sz w:val="16"/>
      <w:szCs w:val="16"/>
    </w:rPr>
  </w:style>
  <w:style w:type="character" w:customStyle="1" w:styleId="CommentTextChar">
    <w:name w:val="Comment Text Char"/>
    <w:basedOn w:val="DefaultParagraphFont"/>
    <w:link w:val="CommentText"/>
    <w:uiPriority w:val="99"/>
    <w:qFormat/>
    <w:rsid w:val="001936F6"/>
    <w:rPr>
      <w:rFonts w:ascii="Calibri" w:eastAsia="Calibri" w:hAnsi="Calibri"/>
      <w:lang w:val="fi-FI" w:eastAsia="en-US"/>
    </w:rPr>
  </w:style>
  <w:style w:type="character" w:customStyle="1" w:styleId="BalloonTextChar">
    <w:name w:val="Balloon Text Char"/>
    <w:basedOn w:val="DefaultParagraphFont"/>
    <w:link w:val="BalloonText"/>
    <w:uiPriority w:val="99"/>
    <w:qFormat/>
    <w:rsid w:val="001936F6"/>
    <w:rPr>
      <w:rFonts w:ascii="Tahoma" w:hAnsi="Tahoma" w:cs="Tahoma"/>
      <w:sz w:val="16"/>
      <w:szCs w:val="16"/>
      <w:lang w:eastAsia="en-US"/>
    </w:rPr>
  </w:style>
  <w:style w:type="character" w:customStyle="1" w:styleId="CommentSubjectChar">
    <w:name w:val="Comment Subject Char"/>
    <w:basedOn w:val="CommentTextChar"/>
    <w:link w:val="CommentSubject"/>
    <w:uiPriority w:val="99"/>
    <w:qFormat/>
    <w:rsid w:val="00E21E1F"/>
    <w:rPr>
      <w:rFonts w:ascii="Arial" w:eastAsia="Calibri" w:hAnsi="Arial"/>
      <w:b/>
      <w:bCs/>
      <w:lang w:val="fi-FI" w:eastAsia="en-US"/>
    </w:rPr>
  </w:style>
  <w:style w:type="character" w:customStyle="1" w:styleId="ListParagraphChar">
    <w:name w:val="List Paragraph Char"/>
    <w:aliases w:val="_Bullet Char"/>
    <w:link w:val="ListParagraph"/>
    <w:uiPriority w:val="34"/>
    <w:qFormat/>
    <w:locked/>
    <w:rsid w:val="00097B8D"/>
    <w:rPr>
      <w:rFonts w:ascii="Calibri" w:eastAsia="Calibri" w:hAnsi="Calibri"/>
      <w:sz w:val="22"/>
      <w:szCs w:val="22"/>
      <w:lang w:eastAsia="en-US"/>
    </w:rPr>
  </w:style>
  <w:style w:type="character" w:styleId="Emphasis">
    <w:name w:val="Emphasis"/>
    <w:basedOn w:val="DefaultParagraphFont"/>
    <w:uiPriority w:val="20"/>
    <w:qFormat/>
    <w:rsid w:val="003D61EF"/>
    <w:rPr>
      <w:i/>
      <w:iCs/>
    </w:rPr>
  </w:style>
  <w:style w:type="character" w:customStyle="1" w:styleId="FootnoteTextChar">
    <w:name w:val="Footnote Text Char"/>
    <w:aliases w:val="Ftnote Txt 11ptG Char"/>
    <w:basedOn w:val="DefaultParagraphFont"/>
    <w:link w:val="FootnoteText"/>
    <w:qFormat/>
    <w:rsid w:val="00070CF7"/>
    <w:rPr>
      <w:rFonts w:ascii="Arial" w:hAnsi="Arial"/>
      <w:sz w:val="16"/>
      <w:lang w:val="en-US" w:eastAsia="en-US"/>
    </w:rPr>
  </w:style>
  <w:style w:type="character" w:customStyle="1" w:styleId="ListLabel1">
    <w:name w:val="ListLabel 1"/>
    <w:qFormat/>
    <w:rPr>
      <w:color w:val="00000A"/>
    </w:rPr>
  </w:style>
  <w:style w:type="character" w:customStyle="1" w:styleId="ListLabel2">
    <w:name w:val="ListLabel 2"/>
    <w:qFormat/>
    <w:rPr>
      <w:color w:val="00000A"/>
    </w:rPr>
  </w:style>
  <w:style w:type="character" w:customStyle="1" w:styleId="ListLabel3">
    <w:name w:val="ListLabel 3"/>
    <w:qFormat/>
    <w:rPr>
      <w:b w:val="0"/>
      <w:i w:val="0"/>
      <w:color w:val="00000A"/>
      <w:sz w:val="20"/>
    </w:rPr>
  </w:style>
  <w:style w:type="character" w:customStyle="1" w:styleId="ListLabel4">
    <w:name w:val="ListLabel 4"/>
    <w:qFormat/>
    <w:rPr>
      <w:b w:val="0"/>
      <w:i w:val="0"/>
      <w:color w:val="00000A"/>
      <w:sz w:val="20"/>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Times New Roman"/>
      <w:i w:val="0"/>
      <w:sz w:val="22"/>
      <w:szCs w:val="22"/>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character" w:customStyle="1" w:styleId="ListLabel17">
    <w:name w:val="ListLabel 17"/>
    <w:qFormat/>
    <w:rPr>
      <w:rFonts w:ascii="Calibri" w:hAnsi="Calibri" w:cs="Symbol"/>
      <w:sz w:val="20"/>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Symbol"/>
    </w:rPr>
  </w:style>
  <w:style w:type="character" w:customStyle="1" w:styleId="ListLabel24">
    <w:name w:val="ListLabel 24"/>
    <w:qFormat/>
    <w:rPr>
      <w:rFonts w:cs="Courier New"/>
    </w:rPr>
  </w:style>
  <w:style w:type="character" w:customStyle="1" w:styleId="ListLabel25">
    <w:name w:val="ListLabel 25"/>
    <w:qFormat/>
    <w:rPr>
      <w:rFonts w:cs="Wingdings"/>
    </w:rPr>
  </w:style>
  <w:style w:type="paragraph" w:styleId="Title">
    <w:name w:val="Title"/>
    <w:basedOn w:val="Normal"/>
    <w:next w:val="BodyText"/>
    <w:uiPriority w:val="10"/>
    <w:qFormat/>
    <w:pPr>
      <w:keepNext/>
      <w:spacing w:before="240"/>
    </w:pPr>
    <w:rPr>
      <w:rFonts w:ascii="Liberation Sans" w:eastAsia="Microsoft YaHei" w:hAnsi="Liberation Sans" w:cs="Mangal"/>
      <w:sz w:val="28"/>
      <w:szCs w:val="28"/>
    </w:rPr>
  </w:style>
  <w:style w:type="paragraph" w:styleId="BodyText">
    <w:name w:val="Body Text"/>
    <w:basedOn w:val="Normal"/>
    <w:link w:val="BodyTextChar"/>
    <w:rsid w:val="00546370"/>
  </w:style>
  <w:style w:type="paragraph" w:styleId="List">
    <w:name w:val="List"/>
    <w:basedOn w:val="BodyText"/>
    <w:rPr>
      <w:rFonts w:cs="Mangal"/>
    </w:rPr>
  </w:style>
  <w:style w:type="paragraph" w:styleId="Caption">
    <w:name w:val="caption"/>
    <w:basedOn w:val="Normal"/>
    <w:uiPriority w:val="35"/>
    <w:qFormat/>
    <w:pPr>
      <w:suppressLineNumbers/>
      <w:spacing w:before="120"/>
    </w:pPr>
    <w:rPr>
      <w:rFonts w:cs="Mangal"/>
      <w:i/>
      <w:iCs/>
      <w:sz w:val="24"/>
      <w:szCs w:val="24"/>
    </w:rPr>
  </w:style>
  <w:style w:type="paragraph" w:customStyle="1" w:styleId="Index">
    <w:name w:val="Index"/>
    <w:basedOn w:val="Normal"/>
    <w:qFormat/>
    <w:pPr>
      <w:suppressLineNumbers/>
    </w:pPr>
    <w:rPr>
      <w:rFonts w:cs="Mangal"/>
    </w:rPr>
  </w:style>
  <w:style w:type="paragraph" w:styleId="Header">
    <w:name w:val="header"/>
    <w:basedOn w:val="Normal"/>
    <w:link w:val="HeaderChar"/>
    <w:uiPriority w:val="99"/>
    <w:rsid w:val="00F42CE4"/>
    <w:pPr>
      <w:tabs>
        <w:tab w:val="left" w:pos="357"/>
        <w:tab w:val="center" w:pos="4320"/>
        <w:tab w:val="right" w:pos="8640"/>
      </w:tabs>
    </w:pPr>
    <w:rPr>
      <w:sz w:val="18"/>
    </w:rPr>
  </w:style>
  <w:style w:type="paragraph" w:styleId="Footer">
    <w:name w:val="footer"/>
    <w:aliases w:val="Footer1"/>
    <w:basedOn w:val="Normal"/>
    <w:link w:val="FooterChar"/>
    <w:uiPriority w:val="99"/>
    <w:rsid w:val="00F42CE4"/>
    <w:rPr>
      <w:sz w:val="18"/>
    </w:rPr>
  </w:style>
  <w:style w:type="paragraph" w:customStyle="1" w:styleId="Tabledesmatiresniveau2">
    <w:name w:val="Table des matières niveau 2"/>
    <w:basedOn w:val="Index"/>
    <w:next w:val="Normal"/>
    <w:autoRedefine/>
    <w:semiHidden/>
    <w:pPr>
      <w:tabs>
        <w:tab w:val="left" w:pos="1134"/>
        <w:tab w:val="left" w:pos="2268"/>
        <w:tab w:val="left" w:pos="2552"/>
        <w:tab w:val="left" w:pos="3119"/>
        <w:tab w:val="right" w:leader="dot" w:pos="8448"/>
      </w:tabs>
      <w:spacing w:before="60" w:after="60"/>
      <w:ind w:left="3119" w:right="1134" w:hanging="1418"/>
      <w:jc w:val="left"/>
    </w:pPr>
    <w:rPr>
      <w:rFonts w:ascii="Arial" w:hAnsi="Arial"/>
    </w:rPr>
  </w:style>
  <w:style w:type="paragraph" w:customStyle="1" w:styleId="Tabledesmatiresniveau3">
    <w:name w:val="Table des matières niveau 3"/>
    <w:basedOn w:val="BodyText"/>
    <w:next w:val="Normal"/>
    <w:autoRedefine/>
    <w:semiHidden/>
    <w:pPr>
      <w:tabs>
        <w:tab w:val="left" w:pos="851"/>
        <w:tab w:val="left" w:pos="1134"/>
        <w:tab w:val="left" w:pos="2268"/>
        <w:tab w:val="right" w:leader="dot" w:pos="8448"/>
      </w:tabs>
      <w:spacing w:after="0"/>
      <w:ind w:left="2268" w:right="1134"/>
    </w:pPr>
  </w:style>
  <w:style w:type="paragraph" w:customStyle="1" w:styleId="Tabledesmatiresniveau4">
    <w:name w:val="Table des matières niveau 4"/>
    <w:basedOn w:val="Normal"/>
    <w:next w:val="Normal"/>
    <w:autoRedefine/>
    <w:semiHidden/>
    <w:pPr>
      <w:tabs>
        <w:tab w:val="right" w:leader="dot" w:pos="8448"/>
        <w:tab w:val="right" w:pos="8505"/>
      </w:tabs>
      <w:ind w:left="2835" w:right="1134"/>
    </w:pPr>
  </w:style>
  <w:style w:type="paragraph" w:customStyle="1" w:styleId="Address">
    <w:name w:val="Address"/>
    <w:qFormat/>
    <w:pPr>
      <w:spacing w:line="180" w:lineRule="atLeast"/>
    </w:pPr>
    <w:rPr>
      <w:rFonts w:ascii="Arial" w:hAnsi="Arial"/>
      <w:color w:val="16288E"/>
      <w:sz w:val="16"/>
      <w:lang w:val="en-US" w:eastAsia="en-US"/>
    </w:rPr>
  </w:style>
  <w:style w:type="paragraph" w:styleId="EndnoteText">
    <w:name w:val="endnote text"/>
    <w:basedOn w:val="Normal"/>
    <w:link w:val="EndnoteTextChar"/>
    <w:uiPriority w:val="99"/>
    <w:semiHidden/>
    <w:qFormat/>
    <w:pPr>
      <w:tabs>
        <w:tab w:val="left" w:pos="357"/>
      </w:tabs>
    </w:pPr>
  </w:style>
  <w:style w:type="paragraph" w:styleId="EnvelopeAddress">
    <w:name w:val="envelope address"/>
    <w:basedOn w:val="Normal"/>
    <w:qFormat/>
    <w:pPr>
      <w:tabs>
        <w:tab w:val="left" w:pos="357"/>
      </w:tabs>
      <w:ind w:left="2880"/>
    </w:pPr>
  </w:style>
  <w:style w:type="paragraph" w:styleId="FootnoteText">
    <w:name w:val="footnote text"/>
    <w:aliases w:val="Ftnote Txt 11ptG"/>
    <w:basedOn w:val="Normal"/>
    <w:link w:val="FootnoteTextChar"/>
  </w:style>
  <w:style w:type="paragraph" w:customStyle="1" w:styleId="Introduction">
    <w:name w:val="Introduction"/>
    <w:basedOn w:val="BodyText"/>
    <w:qFormat/>
    <w:rsid w:val="00546370"/>
    <w:pPr>
      <w:spacing w:before="140"/>
    </w:pPr>
    <w:rPr>
      <w:b/>
    </w:rPr>
  </w:style>
  <w:style w:type="paragraph" w:styleId="ListBullet">
    <w:name w:val="List Bullet"/>
    <w:basedOn w:val="Normal"/>
    <w:uiPriority w:val="99"/>
    <w:qFormat/>
    <w:rsid w:val="00546370"/>
  </w:style>
  <w:style w:type="paragraph" w:styleId="ListNumber">
    <w:name w:val="List Number"/>
    <w:basedOn w:val="Normal"/>
    <w:qFormat/>
    <w:rsid w:val="00546370"/>
  </w:style>
  <w:style w:type="paragraph" w:customStyle="1" w:styleId="Titreprincipal">
    <w:name w:val="Titre principal"/>
    <w:basedOn w:val="Title"/>
    <w:link w:val="TitleChar"/>
    <w:qFormat/>
    <w:rsid w:val="00EE7DC4"/>
    <w:pPr>
      <w:spacing w:before="560" w:after="280" w:line="280" w:lineRule="atLeast"/>
      <w:jc w:val="left"/>
      <w:outlineLvl w:val="0"/>
    </w:pPr>
    <w:rPr>
      <w:rFonts w:ascii="Arial" w:hAnsi="Arial"/>
      <w:sz w:val="40"/>
      <w:lang w:val="en-US"/>
    </w:rPr>
  </w:style>
  <w:style w:type="paragraph" w:customStyle="1" w:styleId="ZchnZchn1CharCharCarCar">
    <w:name w:val="Zchn Zchn1 Char Char Car Car"/>
    <w:basedOn w:val="Normal"/>
    <w:qFormat/>
    <w:rsid w:val="00D02098"/>
    <w:pPr>
      <w:spacing w:after="160" w:line="240" w:lineRule="exact"/>
      <w:jc w:val="left"/>
    </w:pPr>
    <w:rPr>
      <w:rFonts w:ascii="Tahoma" w:hAnsi="Tahoma"/>
      <w:lang w:val="en-US"/>
    </w:rPr>
  </w:style>
  <w:style w:type="paragraph" w:customStyle="1" w:styleId="Docheader">
    <w:name w:val="Doc header"/>
    <w:basedOn w:val="Normal"/>
    <w:qFormat/>
    <w:rsid w:val="00D02098"/>
    <w:pPr>
      <w:spacing w:after="0" w:line="280" w:lineRule="exact"/>
      <w:jc w:val="left"/>
    </w:pPr>
    <w:rPr>
      <w:sz w:val="24"/>
      <w:lang w:val="en-US"/>
    </w:rPr>
  </w:style>
  <w:style w:type="paragraph" w:styleId="ListParagraph">
    <w:name w:val="List Paragraph"/>
    <w:aliases w:val="_Bullet"/>
    <w:basedOn w:val="Normal"/>
    <w:link w:val="ListParagraphChar"/>
    <w:uiPriority w:val="34"/>
    <w:qFormat/>
    <w:rsid w:val="005556BD"/>
    <w:pPr>
      <w:spacing w:after="200"/>
      <w:ind w:left="720"/>
      <w:contextualSpacing/>
      <w:jc w:val="left"/>
    </w:pPr>
    <w:rPr>
      <w:rFonts w:eastAsia="Calibri"/>
      <w:szCs w:val="22"/>
    </w:rPr>
  </w:style>
  <w:style w:type="paragraph" w:styleId="CommentText">
    <w:name w:val="annotation text"/>
    <w:basedOn w:val="Normal"/>
    <w:link w:val="CommentTextChar"/>
    <w:uiPriority w:val="99"/>
    <w:unhideWhenUsed/>
    <w:qFormat/>
    <w:rsid w:val="001936F6"/>
    <w:pPr>
      <w:spacing w:after="160" w:line="240" w:lineRule="auto"/>
      <w:jc w:val="left"/>
    </w:pPr>
    <w:rPr>
      <w:rFonts w:eastAsia="Calibri"/>
      <w:lang w:val="fi-FI"/>
    </w:rPr>
  </w:style>
  <w:style w:type="paragraph" w:styleId="BalloonText">
    <w:name w:val="Balloon Text"/>
    <w:basedOn w:val="Normal"/>
    <w:link w:val="BalloonTextChar"/>
    <w:uiPriority w:val="99"/>
    <w:qFormat/>
    <w:rsid w:val="001936F6"/>
    <w:pPr>
      <w:spacing w:after="0" w:line="240" w:lineRule="auto"/>
    </w:pPr>
    <w:rPr>
      <w:rFonts w:ascii="Tahoma" w:hAnsi="Tahoma" w:cs="Tahoma"/>
      <w:sz w:val="16"/>
      <w:szCs w:val="16"/>
    </w:rPr>
  </w:style>
  <w:style w:type="paragraph" w:styleId="CommentSubject">
    <w:name w:val="annotation subject"/>
    <w:basedOn w:val="CommentText"/>
    <w:link w:val="CommentSubjectChar"/>
    <w:uiPriority w:val="99"/>
    <w:qFormat/>
    <w:rsid w:val="00E21E1F"/>
    <w:pPr>
      <w:spacing w:after="140"/>
      <w:jc w:val="both"/>
    </w:pPr>
    <w:rPr>
      <w:rFonts w:ascii="Arial" w:eastAsia="Times New Roman" w:hAnsi="Arial"/>
      <w:b/>
      <w:bCs/>
      <w:lang w:val="en-GB"/>
    </w:rPr>
  </w:style>
  <w:style w:type="paragraph" w:customStyle="1" w:styleId="Body">
    <w:name w:val="Body"/>
    <w:qFormat/>
    <w:rsid w:val="001569F7"/>
    <w:pPr>
      <w:spacing w:after="120" w:line="276" w:lineRule="auto"/>
      <w:jc w:val="both"/>
    </w:pPr>
    <w:rPr>
      <w:rFonts w:ascii="Calibri" w:eastAsia="Calibri" w:hAnsi="Calibri" w:cs="Calibri"/>
      <w:color w:val="000000"/>
      <w:sz w:val="22"/>
      <w:szCs w:val="22"/>
      <w:u w:color="000000"/>
      <w:lang w:eastAsia="en-US"/>
    </w:rPr>
  </w:style>
  <w:style w:type="paragraph" w:styleId="Revision">
    <w:name w:val="Revision"/>
    <w:uiPriority w:val="99"/>
    <w:semiHidden/>
    <w:qFormat/>
    <w:rsid w:val="002006C7"/>
    <w:rPr>
      <w:rFonts w:ascii="Calibri" w:hAnsi="Calibri"/>
      <w:color w:val="00000A"/>
      <w:sz w:val="22"/>
      <w:lang w:eastAsia="en-US"/>
    </w:rPr>
  </w:style>
  <w:style w:type="table" w:styleId="LightShading-Accent3">
    <w:name w:val="Light Shading Accent 3"/>
    <w:basedOn w:val="TableNormal"/>
    <w:uiPriority w:val="60"/>
    <w:rsid w:val="002A04D7"/>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ableGrid">
    <w:name w:val="Table Grid"/>
    <w:basedOn w:val="TableNormal"/>
    <w:uiPriority w:val="39"/>
    <w:rsid w:val="00A535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57766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1 Char"/>
    <w:basedOn w:val="DefaultParagraphFont"/>
    <w:link w:val="Footer"/>
    <w:uiPriority w:val="99"/>
    <w:rsid w:val="003B70B7"/>
    <w:rPr>
      <w:rFonts w:ascii="Calibri" w:hAnsi="Calibri"/>
      <w:color w:val="00000A"/>
      <w:sz w:val="18"/>
      <w:lang w:eastAsia="en-US"/>
    </w:rPr>
  </w:style>
  <w:style w:type="character" w:styleId="Hyperlink">
    <w:name w:val="Hyperlink"/>
    <w:basedOn w:val="DefaultParagraphFont"/>
    <w:uiPriority w:val="99"/>
    <w:unhideWhenUsed/>
    <w:rsid w:val="0026017E"/>
    <w:rPr>
      <w:color w:val="0000FF" w:themeColor="hyperlink"/>
      <w:u w:val="single"/>
    </w:rPr>
  </w:style>
  <w:style w:type="paragraph" w:customStyle="1" w:styleId="Heading41">
    <w:name w:val="Heading 41"/>
    <w:basedOn w:val="Normal"/>
    <w:next w:val="Normal"/>
    <w:uiPriority w:val="9"/>
    <w:unhideWhenUsed/>
    <w:qFormat/>
    <w:rsid w:val="00195ADE"/>
    <w:pPr>
      <w:keepNext/>
      <w:keepLines/>
      <w:tabs>
        <w:tab w:val="clear" w:pos="567"/>
      </w:tabs>
      <w:spacing w:line="259" w:lineRule="auto"/>
      <w:outlineLvl w:val="3"/>
    </w:pPr>
    <w:rPr>
      <w:rFonts w:ascii="Arial" w:hAnsi="Arial"/>
      <w:iCs/>
      <w:color w:val="auto"/>
      <w:szCs w:val="22"/>
    </w:rPr>
  </w:style>
  <w:style w:type="paragraph" w:customStyle="1" w:styleId="Heading51">
    <w:name w:val="Heading 51"/>
    <w:basedOn w:val="Normal"/>
    <w:next w:val="Normal"/>
    <w:uiPriority w:val="9"/>
    <w:unhideWhenUsed/>
    <w:rsid w:val="00195ADE"/>
    <w:pPr>
      <w:tabs>
        <w:tab w:val="clear" w:pos="567"/>
      </w:tabs>
      <w:spacing w:before="200" w:after="160" w:line="259" w:lineRule="auto"/>
      <w:outlineLvl w:val="4"/>
    </w:pPr>
    <w:rPr>
      <w:rFonts w:ascii="Arial" w:hAnsi="Arial"/>
      <w:b/>
      <w:bCs/>
      <w:color w:val="7F7F7F"/>
      <w:szCs w:val="22"/>
    </w:rPr>
  </w:style>
  <w:style w:type="paragraph" w:customStyle="1" w:styleId="Heading61">
    <w:name w:val="Heading 61"/>
    <w:basedOn w:val="Normal"/>
    <w:next w:val="Normal"/>
    <w:uiPriority w:val="9"/>
    <w:unhideWhenUsed/>
    <w:rsid w:val="00195ADE"/>
    <w:pPr>
      <w:tabs>
        <w:tab w:val="clear" w:pos="567"/>
      </w:tabs>
      <w:spacing w:after="160" w:line="271" w:lineRule="auto"/>
      <w:outlineLvl w:val="5"/>
    </w:pPr>
    <w:rPr>
      <w:rFonts w:ascii="Arial" w:hAnsi="Arial"/>
      <w:b/>
      <w:bCs/>
      <w:i/>
      <w:iCs/>
      <w:color w:val="7F7F7F"/>
      <w:szCs w:val="22"/>
    </w:rPr>
  </w:style>
  <w:style w:type="paragraph" w:customStyle="1" w:styleId="Heading71">
    <w:name w:val="Heading 71"/>
    <w:basedOn w:val="Normal"/>
    <w:next w:val="Normal"/>
    <w:uiPriority w:val="9"/>
    <w:unhideWhenUsed/>
    <w:rsid w:val="00195ADE"/>
    <w:pPr>
      <w:tabs>
        <w:tab w:val="clear" w:pos="567"/>
      </w:tabs>
      <w:spacing w:after="160" w:line="259" w:lineRule="auto"/>
      <w:outlineLvl w:val="6"/>
    </w:pPr>
    <w:rPr>
      <w:rFonts w:ascii="Arial" w:hAnsi="Arial"/>
      <w:i/>
      <w:iCs/>
      <w:color w:val="auto"/>
      <w:szCs w:val="22"/>
    </w:rPr>
  </w:style>
  <w:style w:type="paragraph" w:customStyle="1" w:styleId="Heading81">
    <w:name w:val="Heading 81"/>
    <w:basedOn w:val="Normal"/>
    <w:next w:val="Normal"/>
    <w:uiPriority w:val="9"/>
    <w:unhideWhenUsed/>
    <w:rsid w:val="00195ADE"/>
    <w:pPr>
      <w:tabs>
        <w:tab w:val="clear" w:pos="567"/>
      </w:tabs>
      <w:spacing w:after="160" w:line="259" w:lineRule="auto"/>
      <w:outlineLvl w:val="7"/>
    </w:pPr>
    <w:rPr>
      <w:rFonts w:ascii="Arial" w:hAnsi="Arial"/>
      <w:color w:val="auto"/>
      <w:sz w:val="20"/>
    </w:rPr>
  </w:style>
  <w:style w:type="paragraph" w:customStyle="1" w:styleId="Heading91">
    <w:name w:val="Heading 91"/>
    <w:basedOn w:val="Normal"/>
    <w:next w:val="Normal"/>
    <w:uiPriority w:val="9"/>
    <w:unhideWhenUsed/>
    <w:rsid w:val="00195ADE"/>
    <w:pPr>
      <w:tabs>
        <w:tab w:val="clear" w:pos="567"/>
      </w:tabs>
      <w:spacing w:after="160" w:line="259" w:lineRule="auto"/>
      <w:outlineLvl w:val="8"/>
    </w:pPr>
    <w:rPr>
      <w:rFonts w:ascii="Arial" w:hAnsi="Arial"/>
      <w:i/>
      <w:iCs/>
      <w:color w:val="auto"/>
      <w:spacing w:val="5"/>
      <w:sz w:val="20"/>
    </w:rPr>
  </w:style>
  <w:style w:type="numbering" w:customStyle="1" w:styleId="NoList1">
    <w:name w:val="No List1"/>
    <w:next w:val="NoList"/>
    <w:uiPriority w:val="99"/>
    <w:semiHidden/>
    <w:unhideWhenUsed/>
    <w:rsid w:val="00195ADE"/>
  </w:style>
  <w:style w:type="character" w:customStyle="1" w:styleId="Heading4Char">
    <w:name w:val="Heading 4 Char"/>
    <w:basedOn w:val="DefaultParagraphFont"/>
    <w:link w:val="Heading4"/>
    <w:uiPriority w:val="9"/>
    <w:rsid w:val="00195ADE"/>
    <w:rPr>
      <w:rFonts w:ascii="Arial" w:eastAsia="Times New Roman" w:hAnsi="Arial" w:cs="Times New Roman"/>
      <w:iCs/>
    </w:rPr>
  </w:style>
  <w:style w:type="paragraph" w:customStyle="1" w:styleId="Subtitle1">
    <w:name w:val="Subtitle1"/>
    <w:basedOn w:val="Normal"/>
    <w:next w:val="Normal"/>
    <w:uiPriority w:val="11"/>
    <w:qFormat/>
    <w:rsid w:val="00195ADE"/>
    <w:pPr>
      <w:numPr>
        <w:ilvl w:val="1"/>
      </w:numPr>
      <w:tabs>
        <w:tab w:val="clear" w:pos="567"/>
      </w:tabs>
      <w:spacing w:after="160" w:line="259" w:lineRule="auto"/>
    </w:pPr>
    <w:rPr>
      <w:rFonts w:ascii="Arial" w:hAnsi="Arial"/>
      <w:b/>
      <w:color w:val="000000"/>
      <w:sz w:val="24"/>
      <w:szCs w:val="22"/>
    </w:rPr>
  </w:style>
  <w:style w:type="character" w:customStyle="1" w:styleId="SubtitleChar">
    <w:name w:val="Subtitle Char"/>
    <w:basedOn w:val="DefaultParagraphFont"/>
    <w:link w:val="Subtitle"/>
    <w:uiPriority w:val="11"/>
    <w:rsid w:val="00195ADE"/>
    <w:rPr>
      <w:rFonts w:ascii="Arial" w:eastAsia="Times New Roman" w:hAnsi="Arial"/>
      <w:b/>
      <w:color w:val="000000"/>
      <w:sz w:val="24"/>
    </w:rPr>
  </w:style>
  <w:style w:type="character" w:styleId="SubtleEmphasis">
    <w:name w:val="Subtle Emphasis"/>
    <w:uiPriority w:val="19"/>
    <w:rsid w:val="00195ADE"/>
    <w:rPr>
      <w:i/>
      <w:iCs/>
    </w:rPr>
  </w:style>
  <w:style w:type="paragraph" w:styleId="Quote">
    <w:name w:val="Quote"/>
    <w:basedOn w:val="Normal"/>
    <w:next w:val="Normal"/>
    <w:link w:val="QuoteChar"/>
    <w:uiPriority w:val="29"/>
    <w:qFormat/>
    <w:rsid w:val="00195ADE"/>
    <w:pPr>
      <w:tabs>
        <w:tab w:val="clear" w:pos="567"/>
      </w:tabs>
      <w:spacing w:after="160" w:line="259" w:lineRule="auto"/>
      <w:ind w:left="357" w:right="357"/>
    </w:pPr>
    <w:rPr>
      <w:rFonts w:ascii="Arial" w:eastAsia="Arial" w:hAnsi="Arial"/>
      <w:i/>
      <w:iCs/>
      <w:color w:val="auto"/>
      <w:szCs w:val="22"/>
    </w:rPr>
  </w:style>
  <w:style w:type="character" w:customStyle="1" w:styleId="QuoteChar">
    <w:name w:val="Quote Char"/>
    <w:basedOn w:val="DefaultParagraphFont"/>
    <w:link w:val="Quote"/>
    <w:uiPriority w:val="29"/>
    <w:rsid w:val="00195ADE"/>
    <w:rPr>
      <w:rFonts w:ascii="Arial" w:eastAsia="Arial" w:hAnsi="Arial"/>
      <w:i/>
      <w:iCs/>
      <w:sz w:val="22"/>
      <w:szCs w:val="22"/>
      <w:lang w:eastAsia="en-US"/>
    </w:rPr>
  </w:style>
  <w:style w:type="paragraph" w:styleId="TOC1">
    <w:name w:val="toc 1"/>
    <w:basedOn w:val="Normal"/>
    <w:next w:val="Normal"/>
    <w:autoRedefine/>
    <w:uiPriority w:val="39"/>
    <w:unhideWhenUsed/>
    <w:qFormat/>
    <w:rsid w:val="00195ADE"/>
    <w:pPr>
      <w:tabs>
        <w:tab w:val="clear" w:pos="567"/>
      </w:tabs>
      <w:spacing w:line="259" w:lineRule="auto"/>
    </w:pPr>
    <w:rPr>
      <w:rFonts w:ascii="Arial" w:eastAsia="Arial" w:hAnsi="Arial"/>
      <w:b/>
      <w:caps/>
      <w:color w:val="auto"/>
      <w:szCs w:val="22"/>
    </w:rPr>
  </w:style>
  <w:style w:type="paragraph" w:styleId="TOC2">
    <w:name w:val="toc 2"/>
    <w:basedOn w:val="Normal"/>
    <w:next w:val="Normal"/>
    <w:autoRedefine/>
    <w:uiPriority w:val="39"/>
    <w:unhideWhenUsed/>
    <w:rsid w:val="00195ADE"/>
    <w:pPr>
      <w:tabs>
        <w:tab w:val="clear" w:pos="567"/>
      </w:tabs>
      <w:spacing w:line="259" w:lineRule="auto"/>
      <w:ind w:left="221"/>
    </w:pPr>
    <w:rPr>
      <w:rFonts w:ascii="Arial" w:eastAsia="Arial" w:hAnsi="Arial"/>
      <w:b/>
      <w:color w:val="auto"/>
      <w:szCs w:val="22"/>
    </w:rPr>
  </w:style>
  <w:style w:type="paragraph" w:styleId="TOC3">
    <w:name w:val="toc 3"/>
    <w:basedOn w:val="Normal"/>
    <w:next w:val="Normal"/>
    <w:autoRedefine/>
    <w:uiPriority w:val="39"/>
    <w:unhideWhenUsed/>
    <w:rsid w:val="00195ADE"/>
    <w:pPr>
      <w:tabs>
        <w:tab w:val="clear" w:pos="567"/>
      </w:tabs>
      <w:spacing w:line="259" w:lineRule="auto"/>
      <w:ind w:left="442"/>
    </w:pPr>
    <w:rPr>
      <w:rFonts w:ascii="Arial" w:eastAsia="Arial" w:hAnsi="Arial"/>
      <w:i/>
      <w:color w:val="auto"/>
      <w:szCs w:val="22"/>
    </w:rPr>
  </w:style>
  <w:style w:type="paragraph" w:styleId="TOC4">
    <w:name w:val="toc 4"/>
    <w:basedOn w:val="Normal"/>
    <w:next w:val="Normal"/>
    <w:autoRedefine/>
    <w:uiPriority w:val="39"/>
    <w:semiHidden/>
    <w:unhideWhenUsed/>
    <w:rsid w:val="00195ADE"/>
    <w:pPr>
      <w:tabs>
        <w:tab w:val="clear" w:pos="567"/>
      </w:tabs>
      <w:spacing w:line="259" w:lineRule="auto"/>
      <w:ind w:left="658"/>
    </w:pPr>
    <w:rPr>
      <w:rFonts w:ascii="Arial" w:eastAsia="Arial" w:hAnsi="Arial"/>
      <w:color w:val="auto"/>
      <w:szCs w:val="22"/>
    </w:rPr>
  </w:style>
  <w:style w:type="character" w:customStyle="1" w:styleId="EndnoteTextChar">
    <w:name w:val="Endnote Text Char"/>
    <w:basedOn w:val="DefaultParagraphFont"/>
    <w:link w:val="EndnoteText"/>
    <w:uiPriority w:val="99"/>
    <w:semiHidden/>
    <w:rsid w:val="00195ADE"/>
    <w:rPr>
      <w:rFonts w:ascii="Calibri" w:hAnsi="Calibri"/>
      <w:color w:val="00000A"/>
      <w:sz w:val="22"/>
      <w:lang w:eastAsia="en-US"/>
    </w:rPr>
  </w:style>
  <w:style w:type="character" w:styleId="EndnoteReference">
    <w:name w:val="endnote reference"/>
    <w:basedOn w:val="DefaultParagraphFont"/>
    <w:uiPriority w:val="99"/>
    <w:semiHidden/>
    <w:unhideWhenUsed/>
    <w:rsid w:val="00195ADE"/>
    <w:rPr>
      <w:vertAlign w:val="superscript"/>
    </w:rPr>
  </w:style>
  <w:style w:type="character" w:customStyle="1" w:styleId="HeaderChar">
    <w:name w:val="Header Char"/>
    <w:basedOn w:val="DefaultParagraphFont"/>
    <w:link w:val="Header"/>
    <w:uiPriority w:val="99"/>
    <w:rsid w:val="00195ADE"/>
    <w:rPr>
      <w:rFonts w:ascii="Calibri" w:hAnsi="Calibri"/>
      <w:color w:val="00000A"/>
      <w:sz w:val="18"/>
      <w:lang w:eastAsia="en-US"/>
    </w:rPr>
  </w:style>
  <w:style w:type="character" w:customStyle="1" w:styleId="Heading5Char">
    <w:name w:val="Heading 5 Char"/>
    <w:basedOn w:val="DefaultParagraphFont"/>
    <w:link w:val="Heading5"/>
    <w:uiPriority w:val="9"/>
    <w:rsid w:val="00195ADE"/>
    <w:rPr>
      <w:rFonts w:ascii="Arial" w:eastAsia="Times New Roman" w:hAnsi="Arial" w:cs="Times New Roman"/>
      <w:b/>
      <w:bCs/>
      <w:color w:val="7F7F7F"/>
    </w:rPr>
  </w:style>
  <w:style w:type="character" w:customStyle="1" w:styleId="Heading6Char">
    <w:name w:val="Heading 6 Char"/>
    <w:basedOn w:val="DefaultParagraphFont"/>
    <w:link w:val="Heading6"/>
    <w:uiPriority w:val="9"/>
    <w:rsid w:val="00195ADE"/>
    <w:rPr>
      <w:rFonts w:ascii="Arial" w:eastAsia="Times New Roman" w:hAnsi="Arial" w:cs="Times New Roman"/>
      <w:b/>
      <w:bCs/>
      <w:i/>
      <w:iCs/>
      <w:color w:val="7F7F7F"/>
    </w:rPr>
  </w:style>
  <w:style w:type="character" w:customStyle="1" w:styleId="Heading7Char">
    <w:name w:val="Heading 7 Char"/>
    <w:basedOn w:val="DefaultParagraphFont"/>
    <w:link w:val="Heading7"/>
    <w:uiPriority w:val="9"/>
    <w:rsid w:val="00195ADE"/>
    <w:rPr>
      <w:rFonts w:ascii="Arial" w:eastAsia="Times New Roman" w:hAnsi="Arial" w:cs="Times New Roman"/>
      <w:i/>
      <w:iCs/>
    </w:rPr>
  </w:style>
  <w:style w:type="character" w:customStyle="1" w:styleId="Heading8Char">
    <w:name w:val="Heading 8 Char"/>
    <w:basedOn w:val="DefaultParagraphFont"/>
    <w:link w:val="Heading8"/>
    <w:uiPriority w:val="9"/>
    <w:rsid w:val="00195ADE"/>
    <w:rPr>
      <w:rFonts w:ascii="Arial" w:eastAsia="Times New Roman" w:hAnsi="Arial" w:cs="Times New Roman"/>
      <w:sz w:val="20"/>
      <w:szCs w:val="20"/>
    </w:rPr>
  </w:style>
  <w:style w:type="character" w:customStyle="1" w:styleId="Heading9Char">
    <w:name w:val="Heading 9 Char"/>
    <w:basedOn w:val="DefaultParagraphFont"/>
    <w:link w:val="Heading9"/>
    <w:uiPriority w:val="9"/>
    <w:rsid w:val="00195ADE"/>
    <w:rPr>
      <w:rFonts w:ascii="Arial" w:eastAsia="Times New Roman" w:hAnsi="Arial" w:cs="Times New Roman"/>
      <w:i/>
      <w:iCs/>
      <w:spacing w:val="5"/>
      <w:sz w:val="20"/>
      <w:szCs w:val="20"/>
    </w:rPr>
  </w:style>
  <w:style w:type="paragraph" w:styleId="IntenseQuote">
    <w:name w:val="Intense Quote"/>
    <w:basedOn w:val="Normal"/>
    <w:next w:val="Normal"/>
    <w:link w:val="IntenseQuoteChar"/>
    <w:uiPriority w:val="30"/>
    <w:qFormat/>
    <w:rsid w:val="00195ADE"/>
    <w:pPr>
      <w:pBdr>
        <w:bottom w:val="single" w:sz="4" w:space="1" w:color="auto"/>
      </w:pBdr>
      <w:tabs>
        <w:tab w:val="clear" w:pos="567"/>
      </w:tabs>
      <w:spacing w:before="200" w:after="280" w:line="259" w:lineRule="auto"/>
      <w:ind w:left="1008" w:right="1152"/>
    </w:pPr>
    <w:rPr>
      <w:rFonts w:ascii="Arial" w:eastAsia="Arial" w:hAnsi="Arial"/>
      <w:b/>
      <w:bCs/>
      <w:i/>
      <w:iCs/>
      <w:color w:val="auto"/>
      <w:szCs w:val="22"/>
    </w:rPr>
  </w:style>
  <w:style w:type="character" w:customStyle="1" w:styleId="IntenseQuoteChar">
    <w:name w:val="Intense Quote Char"/>
    <w:basedOn w:val="DefaultParagraphFont"/>
    <w:link w:val="IntenseQuote"/>
    <w:uiPriority w:val="30"/>
    <w:rsid w:val="00195ADE"/>
    <w:rPr>
      <w:rFonts w:ascii="Arial" w:eastAsia="Arial" w:hAnsi="Arial"/>
      <w:b/>
      <w:bCs/>
      <w:i/>
      <w:iCs/>
      <w:sz w:val="22"/>
      <w:szCs w:val="22"/>
      <w:lang w:eastAsia="en-US"/>
    </w:rPr>
  </w:style>
  <w:style w:type="character" w:styleId="IntenseReference">
    <w:name w:val="Intense Reference"/>
    <w:uiPriority w:val="32"/>
    <w:qFormat/>
    <w:rsid w:val="00195ADE"/>
    <w:rPr>
      <w:smallCaps/>
      <w:spacing w:val="5"/>
      <w:u w:val="single"/>
    </w:rPr>
  </w:style>
  <w:style w:type="character" w:styleId="SubtleReference">
    <w:name w:val="Subtle Reference"/>
    <w:uiPriority w:val="31"/>
    <w:rsid w:val="00195ADE"/>
    <w:rPr>
      <w:smallCaps/>
    </w:rPr>
  </w:style>
  <w:style w:type="character" w:styleId="Strong">
    <w:name w:val="Strong"/>
    <w:uiPriority w:val="22"/>
    <w:qFormat/>
    <w:rsid w:val="00195ADE"/>
    <w:rPr>
      <w:b/>
      <w:bCs/>
    </w:rPr>
  </w:style>
  <w:style w:type="paragraph" w:customStyle="1" w:styleId="ListBulletStyle">
    <w:name w:val="List Bullet Style"/>
    <w:basedOn w:val="ListBullet"/>
    <w:qFormat/>
    <w:rsid w:val="00195ADE"/>
    <w:pPr>
      <w:numPr>
        <w:numId w:val="16"/>
      </w:numPr>
      <w:ind w:left="0" w:firstLine="0"/>
    </w:pPr>
  </w:style>
  <w:style w:type="paragraph" w:styleId="NoSpacing">
    <w:name w:val="No Spacing"/>
    <w:basedOn w:val="Normal"/>
    <w:link w:val="NoSpacingChar"/>
    <w:uiPriority w:val="1"/>
    <w:rsid w:val="00195ADE"/>
    <w:pPr>
      <w:tabs>
        <w:tab w:val="clear" w:pos="567"/>
      </w:tabs>
      <w:spacing w:after="160" w:line="259" w:lineRule="auto"/>
    </w:pPr>
    <w:rPr>
      <w:rFonts w:ascii="Arial" w:eastAsia="Arial" w:hAnsi="Arial"/>
      <w:color w:val="auto"/>
      <w:szCs w:val="22"/>
    </w:rPr>
  </w:style>
  <w:style w:type="character" w:styleId="BookTitle">
    <w:name w:val="Book Title"/>
    <w:uiPriority w:val="33"/>
    <w:rsid w:val="00195ADE"/>
    <w:rPr>
      <w:i/>
      <w:iCs/>
      <w:smallCaps/>
      <w:spacing w:val="5"/>
    </w:rPr>
  </w:style>
  <w:style w:type="character" w:customStyle="1" w:styleId="NoSpacingChar">
    <w:name w:val="No Spacing Char"/>
    <w:basedOn w:val="DefaultParagraphFont"/>
    <w:link w:val="NoSpacing"/>
    <w:uiPriority w:val="1"/>
    <w:rsid w:val="00195ADE"/>
    <w:rPr>
      <w:rFonts w:ascii="Arial" w:eastAsia="Arial" w:hAnsi="Arial"/>
      <w:sz w:val="22"/>
      <w:szCs w:val="22"/>
      <w:lang w:eastAsia="en-US"/>
    </w:rPr>
  </w:style>
  <w:style w:type="character" w:styleId="IntenseEmphasis">
    <w:name w:val="Intense Emphasis"/>
    <w:uiPriority w:val="21"/>
    <w:qFormat/>
    <w:rsid w:val="00195ADE"/>
    <w:rPr>
      <w:b/>
      <w:bCs/>
    </w:rPr>
  </w:style>
  <w:style w:type="paragraph" w:customStyle="1" w:styleId="TOCHeading1">
    <w:name w:val="TOC Heading1"/>
    <w:basedOn w:val="Heading1"/>
    <w:next w:val="Normal"/>
    <w:uiPriority w:val="39"/>
    <w:semiHidden/>
    <w:unhideWhenUsed/>
    <w:qFormat/>
    <w:rsid w:val="00195ADE"/>
    <w:pPr>
      <w:keepLines/>
      <w:tabs>
        <w:tab w:val="clear" w:pos="567"/>
      </w:tabs>
      <w:spacing w:before="480" w:after="0" w:line="259" w:lineRule="auto"/>
      <w:jc w:val="both"/>
      <w:outlineLvl w:val="9"/>
    </w:pPr>
    <w:rPr>
      <w:rFonts w:eastAsia="Times New Roman" w:cs="Times New Roman"/>
      <w:b/>
      <w:bCs/>
      <w:color w:val="365F91"/>
      <w:lang w:val="en-GB"/>
    </w:rPr>
  </w:style>
  <w:style w:type="table" w:customStyle="1" w:styleId="TableGrid11">
    <w:name w:val="Table Grid11"/>
    <w:basedOn w:val="TableNormal"/>
    <w:next w:val="TableGrid"/>
    <w:uiPriority w:val="59"/>
    <w:rsid w:val="00195ADE"/>
    <w:rPr>
      <w:rFonts w:ascii="Arial" w:eastAsia="MS Mincho" w:hAnsi="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5ADE"/>
    <w:pPr>
      <w:tabs>
        <w:tab w:val="clear" w:pos="567"/>
      </w:tabs>
      <w:spacing w:before="100" w:beforeAutospacing="1" w:after="100" w:afterAutospacing="1" w:line="240" w:lineRule="auto"/>
    </w:pPr>
    <w:rPr>
      <w:rFonts w:ascii="Times New Roman" w:hAnsi="Times New Roman"/>
      <w:color w:val="auto"/>
      <w:sz w:val="24"/>
      <w:szCs w:val="24"/>
      <w:lang w:eastAsia="en-GB"/>
    </w:rPr>
  </w:style>
  <w:style w:type="paragraph" w:customStyle="1" w:styleId="TableParagraph">
    <w:name w:val="Table Paragraph"/>
    <w:basedOn w:val="Normal"/>
    <w:uiPriority w:val="1"/>
    <w:qFormat/>
    <w:rsid w:val="00195ADE"/>
    <w:pPr>
      <w:widowControl w:val="0"/>
      <w:tabs>
        <w:tab w:val="clear" w:pos="567"/>
      </w:tabs>
      <w:autoSpaceDE w:val="0"/>
      <w:autoSpaceDN w:val="0"/>
      <w:spacing w:after="0" w:line="240" w:lineRule="auto"/>
      <w:ind w:left="103"/>
      <w:jc w:val="left"/>
    </w:pPr>
    <w:rPr>
      <w:rFonts w:eastAsia="Calibri" w:cs="Calibri"/>
      <w:color w:val="auto"/>
      <w:szCs w:val="22"/>
      <w:lang w:val="en-US"/>
    </w:rPr>
  </w:style>
  <w:style w:type="character" w:styleId="UnresolvedMention">
    <w:name w:val="Unresolved Mention"/>
    <w:basedOn w:val="DefaultParagraphFont"/>
    <w:uiPriority w:val="99"/>
    <w:semiHidden/>
    <w:unhideWhenUsed/>
    <w:rsid w:val="00195ADE"/>
    <w:rPr>
      <w:color w:val="605E5C"/>
      <w:shd w:val="clear" w:color="auto" w:fill="E1DFDD"/>
    </w:rPr>
  </w:style>
  <w:style w:type="character" w:styleId="Mention">
    <w:name w:val="Mention"/>
    <w:basedOn w:val="DefaultParagraphFont"/>
    <w:uiPriority w:val="99"/>
    <w:unhideWhenUsed/>
    <w:rsid w:val="00195ADE"/>
    <w:rPr>
      <w:color w:val="2B579A"/>
      <w:shd w:val="clear" w:color="auto" w:fill="E1DFDD"/>
    </w:rPr>
  </w:style>
  <w:style w:type="character" w:customStyle="1" w:styleId="Heading4Char1">
    <w:name w:val="Heading 4 Char1"/>
    <w:basedOn w:val="DefaultParagraphFont"/>
    <w:semiHidden/>
    <w:rsid w:val="00195ADE"/>
    <w:rPr>
      <w:rFonts w:asciiTheme="majorHAnsi" w:eastAsiaTheme="majorEastAsia" w:hAnsiTheme="majorHAnsi" w:cstheme="majorBidi"/>
      <w:i/>
      <w:iCs/>
      <w:color w:val="365F91" w:themeColor="accent1" w:themeShade="BF"/>
      <w:sz w:val="22"/>
      <w:lang w:eastAsia="en-US"/>
    </w:rPr>
  </w:style>
  <w:style w:type="paragraph" w:styleId="Subtitle">
    <w:name w:val="Subtitle"/>
    <w:basedOn w:val="Normal"/>
    <w:next w:val="Normal"/>
    <w:link w:val="SubtitleChar"/>
    <w:uiPriority w:val="11"/>
    <w:qFormat/>
    <w:rsid w:val="00195ADE"/>
    <w:pPr>
      <w:numPr>
        <w:ilvl w:val="1"/>
      </w:numPr>
      <w:spacing w:after="160"/>
    </w:pPr>
    <w:rPr>
      <w:rFonts w:ascii="Arial" w:hAnsi="Arial"/>
      <w:b/>
      <w:color w:val="000000"/>
      <w:sz w:val="24"/>
      <w:lang w:eastAsia="en-GB"/>
    </w:rPr>
  </w:style>
  <w:style w:type="character" w:customStyle="1" w:styleId="SubtitleChar1">
    <w:name w:val="Subtitle Char1"/>
    <w:basedOn w:val="DefaultParagraphFont"/>
    <w:rsid w:val="00195ADE"/>
    <w:rPr>
      <w:rFonts w:asciiTheme="minorHAnsi" w:eastAsiaTheme="minorEastAsia" w:hAnsiTheme="minorHAnsi" w:cstheme="minorBidi"/>
      <w:color w:val="5A5A5A" w:themeColor="text1" w:themeTint="A5"/>
      <w:spacing w:val="15"/>
      <w:sz w:val="22"/>
      <w:szCs w:val="22"/>
      <w:lang w:eastAsia="en-US"/>
    </w:rPr>
  </w:style>
  <w:style w:type="character" w:customStyle="1" w:styleId="Heading5Char1">
    <w:name w:val="Heading 5 Char1"/>
    <w:basedOn w:val="DefaultParagraphFont"/>
    <w:semiHidden/>
    <w:rsid w:val="00195ADE"/>
    <w:rPr>
      <w:rFonts w:asciiTheme="majorHAnsi" w:eastAsiaTheme="majorEastAsia" w:hAnsiTheme="majorHAnsi" w:cstheme="majorBidi"/>
      <w:color w:val="365F91" w:themeColor="accent1" w:themeShade="BF"/>
      <w:sz w:val="22"/>
      <w:lang w:eastAsia="en-US"/>
    </w:rPr>
  </w:style>
  <w:style w:type="character" w:customStyle="1" w:styleId="Heading6Char1">
    <w:name w:val="Heading 6 Char1"/>
    <w:basedOn w:val="DefaultParagraphFont"/>
    <w:semiHidden/>
    <w:rsid w:val="00195ADE"/>
    <w:rPr>
      <w:rFonts w:asciiTheme="majorHAnsi" w:eastAsiaTheme="majorEastAsia" w:hAnsiTheme="majorHAnsi" w:cstheme="majorBidi"/>
      <w:color w:val="243F60" w:themeColor="accent1" w:themeShade="7F"/>
      <w:sz w:val="22"/>
      <w:lang w:eastAsia="en-US"/>
    </w:rPr>
  </w:style>
  <w:style w:type="character" w:customStyle="1" w:styleId="Heading7Char1">
    <w:name w:val="Heading 7 Char1"/>
    <w:basedOn w:val="DefaultParagraphFont"/>
    <w:semiHidden/>
    <w:rsid w:val="00195ADE"/>
    <w:rPr>
      <w:rFonts w:asciiTheme="majorHAnsi" w:eastAsiaTheme="majorEastAsia" w:hAnsiTheme="majorHAnsi" w:cstheme="majorBidi"/>
      <w:i/>
      <w:iCs/>
      <w:color w:val="243F60" w:themeColor="accent1" w:themeShade="7F"/>
      <w:sz w:val="22"/>
      <w:lang w:eastAsia="en-US"/>
    </w:rPr>
  </w:style>
  <w:style w:type="character" w:customStyle="1" w:styleId="Heading8Char1">
    <w:name w:val="Heading 8 Char1"/>
    <w:basedOn w:val="DefaultParagraphFont"/>
    <w:semiHidden/>
    <w:rsid w:val="00195ADE"/>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basedOn w:val="DefaultParagraphFont"/>
    <w:semiHidden/>
    <w:rsid w:val="00195ADE"/>
    <w:rPr>
      <w:rFonts w:asciiTheme="majorHAnsi" w:eastAsiaTheme="majorEastAsia" w:hAnsiTheme="majorHAnsi" w:cstheme="majorBidi"/>
      <w:i/>
      <w:iCs/>
      <w:color w:val="272727" w:themeColor="text1" w:themeTint="D8"/>
      <w:sz w:val="21"/>
      <w:szCs w:val="21"/>
      <w:lang w:eastAsia="en-US"/>
    </w:rPr>
  </w:style>
  <w:style w:type="table" w:customStyle="1" w:styleId="TableGrid12">
    <w:name w:val="Table Grid12"/>
    <w:basedOn w:val="TableNormal"/>
    <w:next w:val="TableGrid"/>
    <w:uiPriority w:val="59"/>
    <w:rsid w:val="00F32F3E"/>
    <w:rPr>
      <w:rFonts w:ascii="Calibri" w:eastAsia="MS Mincho" w:hAnsi="Calibr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45F89"/>
  </w:style>
  <w:style w:type="character" w:customStyle="1" w:styleId="BodyTextChar">
    <w:name w:val="Body Text Char"/>
    <w:basedOn w:val="DefaultParagraphFont"/>
    <w:link w:val="BodyText"/>
    <w:rsid w:val="00645F89"/>
    <w:rPr>
      <w:rFonts w:ascii="Calibri" w:hAnsi="Calibri"/>
      <w:color w:val="00000A"/>
      <w:sz w:val="22"/>
      <w:lang w:eastAsia="en-US"/>
    </w:rPr>
  </w:style>
  <w:style w:type="table" w:customStyle="1" w:styleId="TableGrid13">
    <w:name w:val="Table Grid13"/>
    <w:basedOn w:val="TableNormal"/>
    <w:next w:val="TableGrid"/>
    <w:uiPriority w:val="59"/>
    <w:rsid w:val="00645F89"/>
    <w:rPr>
      <w:rFonts w:ascii="Aptos" w:eastAsia="MS Mincho" w:hAnsi="Aptos"/>
      <w:bCs/>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45F89"/>
    <w:rPr>
      <w:rFonts w:ascii="Calibri" w:eastAsia="Aptos" w:hAnsi="Calibri" w:cs="Calibri"/>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645F89"/>
    <w:rPr>
      <w:rFonts w:ascii="Segoe UI" w:hAnsi="Segoe UI" w:cs="Segoe UI" w:hint="default"/>
      <w:sz w:val="18"/>
      <w:szCs w:val="18"/>
    </w:rPr>
  </w:style>
  <w:style w:type="paragraph" w:customStyle="1" w:styleId="pf0">
    <w:name w:val="pf0"/>
    <w:basedOn w:val="Normal"/>
    <w:rsid w:val="00645F89"/>
    <w:pPr>
      <w:tabs>
        <w:tab w:val="clear" w:pos="567"/>
      </w:tabs>
      <w:spacing w:before="100" w:beforeAutospacing="1" w:after="100" w:afterAutospacing="1" w:line="240" w:lineRule="auto"/>
      <w:jc w:val="left"/>
    </w:pPr>
    <w:rPr>
      <w:rFonts w:ascii="Times New Roman" w:hAnsi="Times New Roman"/>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doi.org/10.1111/j.1600-048X.2010.05125.x" TargetMode="External"/><Relationship Id="rId18" Type="http://schemas.openxmlformats.org/officeDocument/2006/relationships/hyperlink" Target="https://doi.org/10.1021/es900490n" TargetMode="External"/><Relationship Id="rId26" Type="http://schemas.openxmlformats.org/officeDocument/2006/relationships/hyperlink" Target="https://doi.org/10.1897/05-574R1.1" TargetMode="External"/><Relationship Id="rId39" Type="http://schemas.openxmlformats.org/officeDocument/2006/relationships/hyperlink" Target="https://doi.org/10.1016/j.scitotenv.2023.163169" TargetMode="External"/><Relationship Id="rId21" Type="http://schemas.openxmlformats.org/officeDocument/2006/relationships/hyperlink" Target="https://doi.org/10.3354/esr01081" TargetMode="External"/><Relationship Id="rId34" Type="http://schemas.openxmlformats.org/officeDocument/2006/relationships/hyperlink" Target="http://dx.doi.org/10.3354/cr033271" TargetMode="External"/><Relationship Id="rId42" Type="http://schemas.openxmlformats.org/officeDocument/2006/relationships/hyperlink" Target="https://doi.org/10.1029/2009JC005312" TargetMode="External"/><Relationship Id="rId47" Type="http://schemas.openxmlformats.org/officeDocument/2006/relationships/hyperlink" Target="https://doi.org/10.1017/9781009157964.005" TargetMode="External"/><Relationship Id="rId50" Type="http://schemas.openxmlformats.org/officeDocument/2006/relationships/hyperlink" Target="https://doi.org/10.1126/science.1235225" TargetMode="External"/><Relationship Id="rId55" Type="http://schemas.openxmlformats.org/officeDocument/2006/relationships/hyperlink" Target="https://doi.org/10.1088/1748-9326/aade56"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07/s00300-016-2017-7" TargetMode="External"/><Relationship Id="rId29" Type="http://schemas.openxmlformats.org/officeDocument/2006/relationships/hyperlink" Target="https://doi.org/10.1111/gcb.13381" TargetMode="External"/><Relationship Id="rId11" Type="http://schemas.openxmlformats.org/officeDocument/2006/relationships/hyperlink" Target="https://doi.org/10.1007/s00227-022-04137-5" TargetMode="External"/><Relationship Id="rId24" Type="http://schemas.openxmlformats.org/officeDocument/2006/relationships/hyperlink" Target="http://www.dmu.dk/Pub/FR721.pdf" TargetMode="External"/><Relationship Id="rId32" Type="http://schemas.openxmlformats.org/officeDocument/2006/relationships/hyperlink" Target="https://doi.org/10.1111/ddi.13389" TargetMode="External"/><Relationship Id="rId37" Type="http://schemas.openxmlformats.org/officeDocument/2006/relationships/hyperlink" Target="https://doi.org/10.14430/arctic1406" TargetMode="External"/><Relationship Id="rId40" Type="http://schemas.openxmlformats.org/officeDocument/2006/relationships/hyperlink" Target="http://dx.doi.org/10.14430/arctic113" TargetMode="External"/><Relationship Id="rId45" Type="http://schemas.openxmlformats.org/officeDocument/2006/relationships/hyperlink" Target="http://dx.doi.org/10.5751/ES-01972-1201r01" TargetMode="External"/><Relationship Id="rId53" Type="http://schemas.openxmlformats.org/officeDocument/2006/relationships/hyperlink" Target="https://doi.org/10.3109/19401736.2014.989520" TargetMode="External"/><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doi.org/10.1016/j.scitotenv.2012.05.018" TargetMode="External"/><Relationship Id="rId14" Type="http://schemas.openxmlformats.org/officeDocument/2006/relationships/hyperlink" Target="https://doi.org/10.1098/rsbl.2016.0277" TargetMode="External"/><Relationship Id="rId22" Type="http://schemas.openxmlformats.org/officeDocument/2006/relationships/hyperlink" Target="https://pubs.rsc.org/en/content/articlehtml/2021/em/d0em00510j" TargetMode="External"/><Relationship Id="rId27" Type="http://schemas.openxmlformats.org/officeDocument/2006/relationships/hyperlink" Target="http://dx.doi.org/10.1016/j.marpolbul.2006.04.013" TargetMode="External"/><Relationship Id="rId30" Type="http://schemas.openxmlformats.org/officeDocument/2006/relationships/hyperlink" Target="https://data.npolar.no/publication/3cd297cc-5e28-4612-90ae-41ffe9f5ff3f" TargetMode="External"/><Relationship Id="rId35" Type="http://schemas.openxmlformats.org/officeDocument/2006/relationships/hyperlink" Target="http://dx.doi.org/10.3354/meps13889" TargetMode="External"/><Relationship Id="rId43" Type="http://schemas.openxmlformats.org/officeDocument/2006/relationships/hyperlink" Target="https://doi.org/10.1002/etc.2935" TargetMode="External"/><Relationship Id="rId48" Type="http://schemas.openxmlformats.org/officeDocument/2006/relationships/hyperlink" Target="http://dx.doi.org/10.1021/es900490n" TargetMode="External"/><Relationship Id="rId56" Type="http://schemas.openxmlformats.org/officeDocument/2006/relationships/hyperlink" Target="https://doi.org/10.3402/polar.v15i1.6633" TargetMode="External"/><Relationship Id="rId8" Type="http://schemas.openxmlformats.org/officeDocument/2006/relationships/image" Target="media/image1.png"/><Relationship Id="rId51" Type="http://schemas.openxmlformats.org/officeDocument/2006/relationships/hyperlink" Target="https://doi.org/10.1038/s43247-022-00498-3" TargetMode="External"/><Relationship Id="rId3" Type="http://schemas.openxmlformats.org/officeDocument/2006/relationships/styles" Target="styles.xml"/><Relationship Id="rId12" Type="http://schemas.openxmlformats.org/officeDocument/2006/relationships/hyperlink" Target="https://doi.org/10.1016/j.biocon.2004.04.021" TargetMode="External"/><Relationship Id="rId17" Type="http://schemas.openxmlformats.org/officeDocument/2006/relationships/hyperlink" Target="http://dx.doi.org/10.1016/j.jmarsys.2013.09.006" TargetMode="External"/><Relationship Id="rId25" Type="http://schemas.openxmlformats.org/officeDocument/2006/relationships/hyperlink" Target="http://www.dmu.dk/Pub/FR773.pdf" TargetMode="External"/><Relationship Id="rId33" Type="http://schemas.openxmlformats.org/officeDocument/2006/relationships/hyperlink" Target="https://doi.org/10.1007/s00227-022-04137-5" TargetMode="External"/><Relationship Id="rId38" Type="http://schemas.openxmlformats.org/officeDocument/2006/relationships/hyperlink" Target="http://doi.org/10.1098/rsbl.2016.0277" TargetMode="External"/><Relationship Id="rId46" Type="http://schemas.openxmlformats.org/officeDocument/2006/relationships/hyperlink" Target="http://dx.doi.org/10.14430/arctic4169" TargetMode="External"/><Relationship Id="rId59" Type="http://schemas.openxmlformats.org/officeDocument/2006/relationships/header" Target="header2.xml"/><Relationship Id="rId20" Type="http://schemas.openxmlformats.org/officeDocument/2006/relationships/hyperlink" Target="https://doi.org/10.3354/esr00747" TargetMode="External"/><Relationship Id="rId41" Type="http://schemas.openxmlformats.org/officeDocument/2006/relationships/hyperlink" Target="https://doi.org/10.1126/science.301.5641.1840" TargetMode="External"/><Relationship Id="rId54" Type="http://schemas.openxmlformats.org/officeDocument/2006/relationships/hyperlink" Target="http://dx.doi.org/10.1675/1524-4695(2004)027%5b0486:RASROI%5d2.0.CO;2"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1007/s00244-016-0320-6" TargetMode="External"/><Relationship Id="rId23" Type="http://schemas.openxmlformats.org/officeDocument/2006/relationships/hyperlink" Target="https://doi.org/10.1039/D0EM00510J" TargetMode="External"/><Relationship Id="rId28" Type="http://schemas.openxmlformats.org/officeDocument/2006/relationships/hyperlink" Target="https://doi.org/10.1038/s41437-022-00515-3" TargetMode="External"/><Relationship Id="rId36" Type="http://schemas.openxmlformats.org/officeDocument/2006/relationships/hyperlink" Target="http://dx.doi.org/10.1016/S0269-7491(00)00153-6" TargetMode="External"/><Relationship Id="rId49" Type="http://schemas.openxmlformats.org/officeDocument/2006/relationships/hyperlink" Target="https://doi.org/10.3354/meps13890" TargetMode="External"/><Relationship Id="rId57" Type="http://schemas.openxmlformats.org/officeDocument/2006/relationships/hyperlink" Target="https://doi.org/10.3402/polar.v33.22749" TargetMode="External"/><Relationship Id="rId10" Type="http://schemas.openxmlformats.org/officeDocument/2006/relationships/image" Target="media/image2.png"/><Relationship Id="rId31" Type="http://schemas.openxmlformats.org/officeDocument/2006/relationships/hyperlink" Target="http://dx.doi.org/10.1002/ecy.3485" TargetMode="External"/><Relationship Id="rId44" Type="http://schemas.openxmlformats.org/officeDocument/2006/relationships/hyperlink" Target="http://dx.doi.org/10.1098/rsbl.2017.070" TargetMode="External"/><Relationship Id="rId52" Type="http://schemas.openxmlformats.org/officeDocument/2006/relationships/hyperlink" Target="http://www.ace-eco.org/vol2/iss2/art8"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ospar.org/documents?v=3279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A9C7C-3590-4EDB-92D2-8694682A6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26</Pages>
  <Words>11715</Words>
  <Characters>66776</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OSPAR_MEETING_DOCUMENT</vt:lpstr>
      <vt:lpstr>OSPAR_MEETING_DOCUMENT</vt:lpstr>
    </vt:vector>
  </TitlesOfParts>
  <Company>.</Company>
  <LinksUpToDate>false</LinksUpToDate>
  <CharactersWithSpaces>78335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OSPAR_MEETING_DOCUMENT</dc:title>
  <dc:creator>Philip Stamp</dc:creator>
  <cp:lastModifiedBy>Eleanor Dening</cp:lastModifiedBy>
  <cp:revision>24</cp:revision>
  <dcterms:created xsi:type="dcterms:W3CDTF">2025-02-05T10:33:00Z</dcterms:created>
  <dcterms:modified xsi:type="dcterms:W3CDTF">2025-10-14T13:59:00Z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